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A0DCB9" w14:textId="09EDE96D" w:rsidR="00D01701" w:rsidRPr="00F935CA" w:rsidRDefault="00221462" w:rsidP="002E261A">
      <w:pPr>
        <w:spacing w:after="0"/>
        <w:jc w:val="center"/>
        <w:rPr>
          <w:rFonts w:ascii="Crimson Pro" w:hAnsi="Crimson Pro" w:cstheme="minorHAnsi"/>
          <w:b/>
          <w:bCs/>
          <w:sz w:val="24"/>
          <w:szCs w:val="24"/>
        </w:rPr>
      </w:pPr>
      <w:r w:rsidRPr="00F935CA">
        <w:rPr>
          <w:rFonts w:ascii="Crimson Pro" w:hAnsi="Crimson Pro" w:cstheme="minorHAnsi"/>
          <w:b/>
          <w:bCs/>
          <w:sz w:val="24"/>
          <w:szCs w:val="24"/>
        </w:rPr>
        <w:t>Author memo</w:t>
      </w:r>
      <w:r w:rsidR="004312DE" w:rsidRPr="00F935CA">
        <w:rPr>
          <w:rFonts w:ascii="Crimson Pro" w:hAnsi="Crimson Pro" w:cstheme="minorHAnsi"/>
          <w:b/>
          <w:bCs/>
          <w:sz w:val="24"/>
          <w:szCs w:val="24"/>
        </w:rPr>
        <w:t>: Misinformation, disinformation, and vaccine hesitancy in the Asia Pacific</w:t>
      </w:r>
    </w:p>
    <w:p w14:paraId="77927B61" w14:textId="0F75FF7C" w:rsidR="004312DE" w:rsidRPr="00F935CA" w:rsidRDefault="00AC2D1A" w:rsidP="002E261A">
      <w:pPr>
        <w:spacing w:after="0"/>
        <w:jc w:val="center"/>
        <w:rPr>
          <w:rFonts w:ascii="Crimson Pro" w:hAnsi="Crimson Pro" w:cstheme="minorHAnsi"/>
          <w:b/>
          <w:bCs/>
          <w:sz w:val="24"/>
          <w:szCs w:val="24"/>
        </w:rPr>
      </w:pPr>
      <w:r>
        <w:rPr>
          <w:rFonts w:ascii="Crimson Pro" w:hAnsi="Crimson Pro" w:cstheme="minorHAnsi"/>
          <w:b/>
          <w:bCs/>
          <w:sz w:val="24"/>
          <w:szCs w:val="24"/>
        </w:rPr>
        <w:t>January</w:t>
      </w:r>
      <w:r w:rsidR="004312DE" w:rsidRPr="00F935CA">
        <w:rPr>
          <w:rFonts w:ascii="Crimson Pro" w:hAnsi="Crimson Pro" w:cstheme="minorHAnsi"/>
          <w:b/>
          <w:bCs/>
          <w:sz w:val="24"/>
          <w:szCs w:val="24"/>
        </w:rPr>
        <w:t xml:space="preserve"> 202</w:t>
      </w:r>
      <w:r>
        <w:rPr>
          <w:rFonts w:ascii="Crimson Pro" w:hAnsi="Crimson Pro" w:cstheme="minorHAnsi"/>
          <w:b/>
          <w:bCs/>
          <w:sz w:val="24"/>
          <w:szCs w:val="24"/>
        </w:rPr>
        <w:t>4</w:t>
      </w:r>
    </w:p>
    <w:p w14:paraId="4354DF71" w14:textId="77274467" w:rsidR="004312DE" w:rsidRPr="00F935CA" w:rsidRDefault="00FE1051" w:rsidP="004312DE">
      <w:pPr>
        <w:rPr>
          <w:rFonts w:ascii="Crimson Pro" w:hAnsi="Crimson Pro" w:cstheme="minorHAnsi"/>
          <w:b/>
          <w:bCs/>
          <w:sz w:val="24"/>
          <w:szCs w:val="24"/>
        </w:rPr>
      </w:pPr>
      <w:r>
        <w:rPr>
          <w:rFonts w:ascii="Crimson Pro" w:hAnsi="Crimson Pro" w:cstheme="minorHAnsi"/>
          <w:b/>
          <w:bCs/>
          <w:sz w:val="24"/>
          <w:szCs w:val="24"/>
        </w:rPr>
        <w:t xml:space="preserve">Introduction </w:t>
      </w:r>
    </w:p>
    <w:p w14:paraId="7815C211" w14:textId="35AB620D" w:rsidR="004042D5" w:rsidRDefault="00B54BF1" w:rsidP="00B54BF1">
      <w:pPr>
        <w:rPr>
          <w:rFonts w:ascii="Crimson Pro" w:hAnsi="Crimson Pro" w:cstheme="minorHAnsi"/>
          <w:sz w:val="24"/>
          <w:szCs w:val="24"/>
        </w:rPr>
      </w:pPr>
      <w:bookmarkStart w:id="0" w:name="_Hlk153274334"/>
      <w:r w:rsidRPr="00594B10">
        <w:rPr>
          <w:rFonts w:ascii="Crimson Pro" w:hAnsi="Crimson Pro" w:cstheme="minorHAnsi"/>
          <w:sz w:val="24"/>
          <w:szCs w:val="24"/>
        </w:rPr>
        <w:t xml:space="preserve">The COVID-19 pandemic has </w:t>
      </w:r>
      <w:r w:rsidR="0020798F" w:rsidRPr="00594B10">
        <w:rPr>
          <w:rFonts w:ascii="Crimson Pro" w:hAnsi="Crimson Pro" w:cstheme="minorHAnsi"/>
          <w:sz w:val="24"/>
          <w:szCs w:val="24"/>
        </w:rPr>
        <w:t>magnified</w:t>
      </w:r>
      <w:r w:rsidRPr="00594B10">
        <w:rPr>
          <w:rFonts w:ascii="Crimson Pro" w:hAnsi="Crimson Pro" w:cstheme="minorHAnsi"/>
          <w:sz w:val="24"/>
          <w:szCs w:val="24"/>
        </w:rPr>
        <w:t xml:space="preserve"> </w:t>
      </w:r>
      <w:r w:rsidR="0020798F" w:rsidRPr="00594B10">
        <w:rPr>
          <w:rFonts w:ascii="Crimson Pro" w:hAnsi="Crimson Pro" w:cstheme="minorHAnsi"/>
          <w:sz w:val="24"/>
          <w:szCs w:val="24"/>
        </w:rPr>
        <w:t xml:space="preserve">many </w:t>
      </w:r>
      <w:r w:rsidR="00866A29" w:rsidRPr="00594B10">
        <w:rPr>
          <w:rFonts w:ascii="Crimson Pro" w:hAnsi="Crimson Pro" w:cstheme="minorHAnsi"/>
          <w:sz w:val="24"/>
          <w:szCs w:val="24"/>
        </w:rPr>
        <w:t xml:space="preserve">governance </w:t>
      </w:r>
      <w:r w:rsidR="0020798F" w:rsidRPr="00594B10">
        <w:rPr>
          <w:rFonts w:ascii="Crimson Pro" w:hAnsi="Crimson Pro" w:cstheme="minorHAnsi"/>
          <w:sz w:val="24"/>
          <w:szCs w:val="24"/>
        </w:rPr>
        <w:t xml:space="preserve">challenges that </w:t>
      </w:r>
      <w:r w:rsidR="001B4D57">
        <w:rPr>
          <w:rFonts w:ascii="Crimson Pro" w:hAnsi="Crimson Pro" w:cstheme="minorHAnsi"/>
          <w:sz w:val="24"/>
          <w:szCs w:val="24"/>
        </w:rPr>
        <w:t>predated</w:t>
      </w:r>
      <w:r w:rsidR="0020798F" w:rsidRPr="00594B10">
        <w:rPr>
          <w:rFonts w:ascii="Crimson Pro" w:hAnsi="Crimson Pro" w:cstheme="minorHAnsi"/>
          <w:sz w:val="24"/>
          <w:szCs w:val="24"/>
        </w:rPr>
        <w:t xml:space="preserve"> the </w:t>
      </w:r>
      <w:r w:rsidR="00866A29" w:rsidRPr="00594B10">
        <w:rPr>
          <w:rFonts w:ascii="Crimson Pro" w:hAnsi="Crimson Pro" w:cstheme="minorHAnsi"/>
          <w:sz w:val="24"/>
          <w:szCs w:val="24"/>
        </w:rPr>
        <w:t xml:space="preserve">health </w:t>
      </w:r>
      <w:r w:rsidR="0020798F" w:rsidRPr="00594B10">
        <w:rPr>
          <w:rFonts w:ascii="Crimson Pro" w:hAnsi="Crimson Pro" w:cstheme="minorHAnsi"/>
          <w:sz w:val="24"/>
          <w:szCs w:val="24"/>
        </w:rPr>
        <w:t xml:space="preserve">crisis. From </w:t>
      </w:r>
      <w:r w:rsidR="001B4D57">
        <w:rPr>
          <w:rFonts w:ascii="Crimson Pro" w:hAnsi="Crimson Pro" w:cstheme="minorHAnsi"/>
          <w:sz w:val="24"/>
          <w:szCs w:val="24"/>
        </w:rPr>
        <w:t xml:space="preserve">the necessity of swiftly formulating responses </w:t>
      </w:r>
      <w:r w:rsidR="0020798F" w:rsidRPr="00594B10">
        <w:rPr>
          <w:rFonts w:ascii="Crimson Pro" w:hAnsi="Crimson Pro" w:cstheme="minorHAnsi"/>
          <w:sz w:val="24"/>
          <w:szCs w:val="24"/>
        </w:rPr>
        <w:t xml:space="preserve">to combat an unknown virus to </w:t>
      </w:r>
      <w:r w:rsidR="001B4D57">
        <w:rPr>
          <w:rFonts w:ascii="Crimson Pro" w:hAnsi="Crimson Pro" w:cstheme="minorHAnsi"/>
          <w:sz w:val="24"/>
          <w:szCs w:val="24"/>
        </w:rPr>
        <w:t xml:space="preserve">the </w:t>
      </w:r>
      <w:r w:rsidR="0020798F" w:rsidRPr="00594B10">
        <w:rPr>
          <w:rFonts w:ascii="Crimson Pro" w:hAnsi="Crimson Pro" w:cstheme="minorHAnsi"/>
          <w:sz w:val="24"/>
          <w:szCs w:val="24"/>
        </w:rPr>
        <w:t>develop</w:t>
      </w:r>
      <w:r w:rsidR="001B4D57">
        <w:rPr>
          <w:rFonts w:ascii="Crimson Pro" w:hAnsi="Crimson Pro" w:cstheme="minorHAnsi"/>
          <w:sz w:val="24"/>
          <w:szCs w:val="24"/>
        </w:rPr>
        <w:t>ment of</w:t>
      </w:r>
      <w:r w:rsidR="0020798F" w:rsidRPr="00594B10">
        <w:rPr>
          <w:rFonts w:ascii="Crimson Pro" w:hAnsi="Crimson Pro" w:cstheme="minorHAnsi"/>
          <w:sz w:val="24"/>
          <w:szCs w:val="24"/>
        </w:rPr>
        <w:t xml:space="preserve"> economic </w:t>
      </w:r>
      <w:r w:rsidR="001B4D57">
        <w:rPr>
          <w:rFonts w:ascii="Crimson Pro" w:hAnsi="Crimson Pro" w:cstheme="minorHAnsi"/>
          <w:sz w:val="24"/>
          <w:szCs w:val="24"/>
        </w:rPr>
        <w:t>relief</w:t>
      </w:r>
      <w:r w:rsidR="0020798F" w:rsidRPr="00594B10">
        <w:rPr>
          <w:rFonts w:ascii="Crimson Pro" w:hAnsi="Crimson Pro" w:cstheme="minorHAnsi"/>
          <w:sz w:val="24"/>
          <w:szCs w:val="24"/>
        </w:rPr>
        <w:t xml:space="preserve"> packages to support affected families and businesses, </w:t>
      </w:r>
      <w:r w:rsidR="00100F4B" w:rsidRPr="00594B10">
        <w:rPr>
          <w:rFonts w:ascii="Crimson Pro" w:hAnsi="Crimson Pro" w:cstheme="minorHAnsi"/>
          <w:sz w:val="24"/>
          <w:szCs w:val="24"/>
        </w:rPr>
        <w:t xml:space="preserve">governments were </w:t>
      </w:r>
      <w:r w:rsidR="0003707E">
        <w:rPr>
          <w:rFonts w:ascii="Crimson Pro" w:hAnsi="Crimson Pro" w:cstheme="minorHAnsi"/>
          <w:sz w:val="24"/>
          <w:szCs w:val="24"/>
        </w:rPr>
        <w:t xml:space="preserve">confronted with </w:t>
      </w:r>
      <w:r w:rsidR="009D10E5">
        <w:rPr>
          <w:rFonts w:ascii="Crimson Pro" w:hAnsi="Crimson Pro" w:cstheme="minorHAnsi"/>
          <w:sz w:val="24"/>
          <w:szCs w:val="24"/>
        </w:rPr>
        <w:t xml:space="preserve">amplified challenges to </w:t>
      </w:r>
      <w:r w:rsidR="0020798F" w:rsidRPr="00594B10">
        <w:rPr>
          <w:rFonts w:ascii="Crimson Pro" w:hAnsi="Crimson Pro" w:cstheme="minorHAnsi"/>
          <w:sz w:val="24"/>
          <w:szCs w:val="24"/>
        </w:rPr>
        <w:t xml:space="preserve">health, economic, and social resilience. </w:t>
      </w:r>
      <w:r w:rsidR="00396742">
        <w:rPr>
          <w:rFonts w:ascii="Crimson Pro" w:hAnsi="Crimson Pro" w:cstheme="minorHAnsi"/>
          <w:sz w:val="24"/>
          <w:szCs w:val="24"/>
          <w:lang w:eastAsia="ja-JP"/>
        </w:rPr>
        <w:t>The emphasis on p</w:t>
      </w:r>
      <w:r w:rsidR="00866A29" w:rsidRPr="00594B10">
        <w:rPr>
          <w:rFonts w:ascii="Crimson Pro" w:hAnsi="Crimson Pro" w:cstheme="minorHAnsi"/>
          <w:sz w:val="24"/>
          <w:szCs w:val="24"/>
        </w:rPr>
        <w:t>romoting vaccination</w:t>
      </w:r>
      <w:r w:rsidR="007C33B6">
        <w:rPr>
          <w:rFonts w:ascii="Crimson Pro" w:hAnsi="Crimson Pro" w:cstheme="minorHAnsi"/>
          <w:sz w:val="24"/>
          <w:szCs w:val="24"/>
        </w:rPr>
        <w:t xml:space="preserve">, </w:t>
      </w:r>
      <w:r w:rsidR="00396742">
        <w:rPr>
          <w:rFonts w:ascii="Crimson Pro" w:hAnsi="Crimson Pro" w:cstheme="minorHAnsi"/>
          <w:sz w:val="24"/>
          <w:szCs w:val="24"/>
        </w:rPr>
        <w:t xml:space="preserve">which has been </w:t>
      </w:r>
      <w:r w:rsidR="007C33B6">
        <w:rPr>
          <w:rFonts w:ascii="Crimson Pro" w:hAnsi="Crimson Pro" w:cstheme="minorHAnsi"/>
          <w:sz w:val="24"/>
          <w:szCs w:val="24"/>
        </w:rPr>
        <w:t xml:space="preserve">a long-standing </w:t>
      </w:r>
      <w:r w:rsidR="00396742">
        <w:rPr>
          <w:rFonts w:ascii="Crimson Pro" w:hAnsi="Crimson Pro" w:cstheme="minorHAnsi"/>
          <w:sz w:val="24"/>
          <w:szCs w:val="24"/>
        </w:rPr>
        <w:t>public health strategy</w:t>
      </w:r>
      <w:r w:rsidR="007C33B6">
        <w:rPr>
          <w:rFonts w:ascii="Crimson Pro" w:hAnsi="Crimson Pro" w:cstheme="minorHAnsi"/>
          <w:sz w:val="24"/>
          <w:szCs w:val="24"/>
        </w:rPr>
        <w:t xml:space="preserve">, </w:t>
      </w:r>
      <w:r w:rsidR="00396742">
        <w:rPr>
          <w:rFonts w:ascii="Crimson Pro" w:hAnsi="Crimson Pro" w:cstheme="minorHAnsi"/>
          <w:sz w:val="24"/>
          <w:szCs w:val="24"/>
        </w:rPr>
        <w:t xml:space="preserve">gained heightened importance </w:t>
      </w:r>
      <w:r w:rsidR="007C33B6">
        <w:rPr>
          <w:rFonts w:ascii="Crimson Pro" w:hAnsi="Crimson Pro" w:cstheme="minorHAnsi"/>
          <w:sz w:val="24"/>
          <w:szCs w:val="24"/>
        </w:rPr>
        <w:t>during</w:t>
      </w:r>
      <w:r w:rsidR="0020798F" w:rsidRPr="00594B10">
        <w:rPr>
          <w:rFonts w:ascii="Crimson Pro" w:hAnsi="Crimson Pro" w:cstheme="minorHAnsi"/>
          <w:sz w:val="24"/>
          <w:szCs w:val="24"/>
        </w:rPr>
        <w:t xml:space="preserve"> the COVID-19 pandemic</w:t>
      </w:r>
      <w:r w:rsidR="0026677F">
        <w:rPr>
          <w:rFonts w:ascii="Crimson Pro" w:hAnsi="Crimson Pro" w:cstheme="minorHAnsi"/>
          <w:sz w:val="24"/>
          <w:szCs w:val="24"/>
        </w:rPr>
        <w:t>.</w:t>
      </w:r>
      <w:r w:rsidR="007C33B6">
        <w:rPr>
          <w:rFonts w:ascii="Crimson Pro" w:hAnsi="Crimson Pro" w:cstheme="minorHAnsi"/>
          <w:sz w:val="24"/>
          <w:szCs w:val="24"/>
        </w:rPr>
        <w:t xml:space="preserve"> </w:t>
      </w:r>
      <w:r w:rsidR="0026677F">
        <w:rPr>
          <w:rFonts w:ascii="Crimson Pro" w:hAnsi="Crimson Pro" w:cstheme="minorHAnsi"/>
          <w:sz w:val="24"/>
          <w:szCs w:val="24"/>
        </w:rPr>
        <w:t xml:space="preserve">This period highlighted </w:t>
      </w:r>
      <w:r w:rsidR="007C33B6">
        <w:rPr>
          <w:rFonts w:ascii="Crimson Pro" w:hAnsi="Crimson Pro" w:cstheme="minorHAnsi"/>
          <w:sz w:val="24"/>
          <w:szCs w:val="24"/>
        </w:rPr>
        <w:t xml:space="preserve">the dynamics of </w:t>
      </w:r>
      <w:r w:rsidR="002E261A">
        <w:rPr>
          <w:rFonts w:ascii="Crimson Pro" w:hAnsi="Crimson Pro" w:cstheme="minorHAnsi"/>
          <w:sz w:val="24"/>
          <w:szCs w:val="24"/>
        </w:rPr>
        <w:t xml:space="preserve">the dissemination of </w:t>
      </w:r>
      <w:r w:rsidR="00527F96" w:rsidRPr="00594B10">
        <w:rPr>
          <w:rFonts w:ascii="Crimson Pro" w:hAnsi="Crimson Pro" w:cstheme="minorHAnsi"/>
          <w:sz w:val="24"/>
          <w:szCs w:val="24"/>
        </w:rPr>
        <w:t xml:space="preserve">health information—both </w:t>
      </w:r>
      <w:r w:rsidR="00260032">
        <w:rPr>
          <w:rFonts w:ascii="Crimson Pro" w:hAnsi="Crimson Pro" w:cstheme="minorHAnsi"/>
          <w:sz w:val="24"/>
          <w:szCs w:val="24"/>
        </w:rPr>
        <w:t>accurate</w:t>
      </w:r>
      <w:r w:rsidR="00260032" w:rsidRPr="00594B10">
        <w:rPr>
          <w:rFonts w:ascii="Crimson Pro" w:hAnsi="Crimson Pro" w:cstheme="minorHAnsi"/>
          <w:sz w:val="24"/>
          <w:szCs w:val="24"/>
        </w:rPr>
        <w:t xml:space="preserve"> </w:t>
      </w:r>
      <w:r w:rsidR="00527F96" w:rsidRPr="00594B10">
        <w:rPr>
          <w:rFonts w:ascii="Crimson Pro" w:hAnsi="Crimson Pro" w:cstheme="minorHAnsi"/>
          <w:sz w:val="24"/>
          <w:szCs w:val="24"/>
        </w:rPr>
        <w:t xml:space="preserve">and </w:t>
      </w:r>
      <w:r w:rsidR="00260032">
        <w:rPr>
          <w:rFonts w:ascii="Crimson Pro" w:hAnsi="Crimson Pro" w:cstheme="minorHAnsi"/>
          <w:sz w:val="24"/>
          <w:szCs w:val="24"/>
        </w:rPr>
        <w:t>misleading</w:t>
      </w:r>
      <w:r w:rsidR="00527F96" w:rsidRPr="00594B10">
        <w:rPr>
          <w:rFonts w:ascii="Crimson Pro" w:hAnsi="Crimson Pro" w:cstheme="minorHAnsi"/>
          <w:sz w:val="24"/>
          <w:szCs w:val="24"/>
        </w:rPr>
        <w:t>—</w:t>
      </w:r>
      <w:r w:rsidR="0041743A">
        <w:rPr>
          <w:rFonts w:ascii="Crimson Pro" w:hAnsi="Crimson Pro" w:cstheme="minorHAnsi"/>
          <w:sz w:val="24"/>
          <w:szCs w:val="24"/>
        </w:rPr>
        <w:t xml:space="preserve">and </w:t>
      </w:r>
      <w:r w:rsidR="00527F96" w:rsidRPr="00594B10">
        <w:rPr>
          <w:rFonts w:ascii="Crimson Pro" w:hAnsi="Crimson Pro" w:cstheme="minorHAnsi"/>
          <w:sz w:val="24"/>
          <w:szCs w:val="24"/>
        </w:rPr>
        <w:t xml:space="preserve">how the media landscape </w:t>
      </w:r>
      <w:r w:rsidR="009439DB">
        <w:rPr>
          <w:rFonts w:ascii="Crimson Pro" w:hAnsi="Crimson Pro" w:cstheme="minorHAnsi"/>
          <w:sz w:val="24"/>
          <w:szCs w:val="24"/>
        </w:rPr>
        <w:t>influences</w:t>
      </w:r>
      <w:r w:rsidR="009439DB" w:rsidRPr="00594B10">
        <w:rPr>
          <w:rFonts w:ascii="Crimson Pro" w:hAnsi="Crimson Pro" w:cstheme="minorHAnsi"/>
          <w:sz w:val="24"/>
          <w:szCs w:val="24"/>
        </w:rPr>
        <w:t xml:space="preserve"> </w:t>
      </w:r>
      <w:r w:rsidR="00527F96" w:rsidRPr="00594B10">
        <w:rPr>
          <w:rFonts w:ascii="Crimson Pro" w:hAnsi="Crimson Pro" w:cstheme="minorHAnsi"/>
          <w:sz w:val="24"/>
          <w:szCs w:val="24"/>
        </w:rPr>
        <w:t>health behavior</w:t>
      </w:r>
      <w:r w:rsidR="009439DB">
        <w:rPr>
          <w:rFonts w:ascii="Crimson Pro" w:hAnsi="Crimson Pro" w:cstheme="minorHAnsi"/>
          <w:sz w:val="24"/>
          <w:szCs w:val="24"/>
        </w:rPr>
        <w:t>s</w:t>
      </w:r>
      <w:r w:rsidR="00527F96" w:rsidRPr="00594B10">
        <w:rPr>
          <w:rFonts w:ascii="Crimson Pro" w:hAnsi="Crimson Pro" w:cstheme="minorHAnsi"/>
          <w:sz w:val="24"/>
          <w:szCs w:val="24"/>
        </w:rPr>
        <w:t xml:space="preserve">. </w:t>
      </w:r>
    </w:p>
    <w:p w14:paraId="6C683920" w14:textId="0BA178E3" w:rsidR="00841F3C" w:rsidRDefault="004042D5" w:rsidP="00B54BF1">
      <w:pPr>
        <w:rPr>
          <w:rFonts w:ascii="Crimson Pro" w:hAnsi="Crimson Pro" w:cstheme="minorHAnsi"/>
          <w:sz w:val="24"/>
          <w:szCs w:val="24"/>
        </w:rPr>
      </w:pPr>
      <w:r w:rsidRPr="005110D1">
        <w:rPr>
          <w:rFonts w:ascii="Crimson Pro" w:hAnsi="Crimson Pro" w:cstheme="minorHAnsi"/>
          <w:sz w:val="24"/>
          <w:szCs w:val="24"/>
        </w:rPr>
        <w:t>Historical and contemporary studies in the West have identified misinformation and disinformation as factors that reduce people’s confidence in vaccines</w:t>
      </w:r>
      <w:r w:rsidR="005C4CAB">
        <w:rPr>
          <w:rFonts w:ascii="Crimson Pro" w:hAnsi="Crimson Pro" w:cstheme="minorHAnsi"/>
          <w:sz w:val="24"/>
          <w:szCs w:val="24"/>
        </w:rPr>
        <w:t xml:space="preserve"> and in government messaging on health</w:t>
      </w:r>
      <w:r w:rsidRPr="005110D1">
        <w:rPr>
          <w:rFonts w:ascii="Crimson Pro" w:hAnsi="Crimson Pro" w:cstheme="minorHAnsi"/>
          <w:sz w:val="24"/>
          <w:szCs w:val="24"/>
        </w:rPr>
        <w:t xml:space="preserve">. </w:t>
      </w:r>
      <w:r w:rsidR="00866A29" w:rsidRPr="00594B10">
        <w:rPr>
          <w:rFonts w:ascii="Crimson Pro" w:hAnsi="Crimson Pro" w:cstheme="minorHAnsi"/>
          <w:sz w:val="24"/>
          <w:szCs w:val="24"/>
        </w:rPr>
        <w:t xml:space="preserve">Recent experiences from the Asia-Pacific region in vaccine rollout have also highlighted the importance of cultural values, personal privacy, and communication in the design and implementation of public health policy. </w:t>
      </w:r>
      <w:r w:rsidR="00527F96" w:rsidRPr="00594B10">
        <w:rPr>
          <w:rFonts w:ascii="Crimson Pro" w:hAnsi="Crimson Pro" w:cstheme="minorHAnsi"/>
          <w:sz w:val="24"/>
          <w:szCs w:val="24"/>
        </w:rPr>
        <w:t>As this health emergency wanes and future</w:t>
      </w:r>
      <w:r w:rsidR="004619D0" w:rsidRPr="00594B10">
        <w:rPr>
          <w:rFonts w:ascii="Crimson Pro" w:hAnsi="Crimson Pro" w:cstheme="minorHAnsi"/>
          <w:sz w:val="24"/>
          <w:szCs w:val="24"/>
        </w:rPr>
        <w:t xml:space="preserve"> crises </w:t>
      </w:r>
      <w:r w:rsidR="007C33B6">
        <w:rPr>
          <w:rFonts w:ascii="Crimson Pro" w:hAnsi="Crimson Pro" w:cstheme="minorHAnsi"/>
          <w:sz w:val="24"/>
          <w:szCs w:val="24"/>
        </w:rPr>
        <w:t>loom</w:t>
      </w:r>
      <w:r w:rsidR="007C33B6" w:rsidRPr="00594B10">
        <w:rPr>
          <w:rFonts w:ascii="Crimson Pro" w:hAnsi="Crimson Pro" w:cstheme="minorHAnsi"/>
          <w:sz w:val="24"/>
          <w:szCs w:val="24"/>
        </w:rPr>
        <w:t xml:space="preserve"> </w:t>
      </w:r>
      <w:r w:rsidR="004619D0" w:rsidRPr="00594B10">
        <w:rPr>
          <w:rFonts w:ascii="Crimson Pro" w:hAnsi="Crimson Pro" w:cstheme="minorHAnsi"/>
          <w:sz w:val="24"/>
          <w:szCs w:val="24"/>
        </w:rPr>
        <w:t>on the horizon, the issue of vaccine hesitancy</w:t>
      </w:r>
      <w:r w:rsidR="00527F96" w:rsidRPr="00594B10">
        <w:rPr>
          <w:rFonts w:ascii="Crimson Pro" w:hAnsi="Crimson Pro" w:cstheme="minorHAnsi"/>
          <w:sz w:val="24"/>
          <w:szCs w:val="24"/>
        </w:rPr>
        <w:t xml:space="preserve"> </w:t>
      </w:r>
      <w:r w:rsidR="004619D0" w:rsidRPr="00594B10">
        <w:rPr>
          <w:rFonts w:ascii="Crimson Pro" w:hAnsi="Crimson Pro" w:cstheme="minorHAnsi"/>
          <w:sz w:val="24"/>
          <w:szCs w:val="24"/>
        </w:rPr>
        <w:t xml:space="preserve">will become more </w:t>
      </w:r>
      <w:r w:rsidR="002B4C4D" w:rsidRPr="00594B10">
        <w:rPr>
          <w:rFonts w:ascii="Crimson Pro" w:hAnsi="Crimson Pro" w:cstheme="minorHAnsi"/>
          <w:sz w:val="24"/>
          <w:szCs w:val="24"/>
        </w:rPr>
        <w:t>crucial</w:t>
      </w:r>
      <w:r w:rsidR="007C33B6">
        <w:rPr>
          <w:rFonts w:ascii="Crimson Pro" w:hAnsi="Crimson Pro" w:cstheme="minorHAnsi"/>
          <w:sz w:val="24"/>
          <w:szCs w:val="24"/>
        </w:rPr>
        <w:t xml:space="preserve">, amplified by the ever-expanding array of </w:t>
      </w:r>
      <w:r w:rsidR="004619D0" w:rsidRPr="00594B10">
        <w:rPr>
          <w:rFonts w:ascii="Crimson Pro" w:hAnsi="Crimson Pro" w:cstheme="minorHAnsi"/>
          <w:sz w:val="24"/>
          <w:szCs w:val="24"/>
        </w:rPr>
        <w:t xml:space="preserve">information </w:t>
      </w:r>
      <w:r w:rsidR="00866A29" w:rsidRPr="00594B10">
        <w:rPr>
          <w:rFonts w:ascii="Crimson Pro" w:hAnsi="Crimson Pro" w:cstheme="minorHAnsi"/>
          <w:sz w:val="24"/>
          <w:szCs w:val="24"/>
        </w:rPr>
        <w:t xml:space="preserve">and media </w:t>
      </w:r>
      <w:r w:rsidR="004619D0" w:rsidRPr="00594B10">
        <w:rPr>
          <w:rFonts w:ascii="Crimson Pro" w:hAnsi="Crimson Pro" w:cstheme="minorHAnsi"/>
          <w:sz w:val="24"/>
          <w:szCs w:val="24"/>
        </w:rPr>
        <w:t>channels.</w:t>
      </w:r>
      <w:r w:rsidR="005110D1">
        <w:rPr>
          <w:rFonts w:ascii="Crimson Pro" w:hAnsi="Crimson Pro" w:cstheme="minorHAnsi"/>
          <w:sz w:val="24"/>
          <w:szCs w:val="24"/>
        </w:rPr>
        <w:t xml:space="preserve"> </w:t>
      </w:r>
      <w:r w:rsidR="004619D0" w:rsidRPr="00BB07D0">
        <w:rPr>
          <w:rFonts w:ascii="Crimson Pro" w:hAnsi="Crimson Pro" w:cstheme="minorHAnsi"/>
          <w:b/>
          <w:sz w:val="24"/>
          <w:szCs w:val="24"/>
        </w:rPr>
        <w:t xml:space="preserve">How can governments understand public attitudes toward vaccines and </w:t>
      </w:r>
      <w:r w:rsidR="00A55C78" w:rsidRPr="00BB07D0">
        <w:rPr>
          <w:rFonts w:ascii="Crimson Pro" w:hAnsi="Crimson Pro" w:cstheme="minorHAnsi"/>
          <w:b/>
          <w:sz w:val="24"/>
          <w:szCs w:val="24"/>
        </w:rPr>
        <w:t xml:space="preserve">leverage </w:t>
      </w:r>
      <w:r w:rsidR="00866A29" w:rsidRPr="00BB07D0">
        <w:rPr>
          <w:rFonts w:ascii="Crimson Pro" w:hAnsi="Crimson Pro" w:cstheme="minorHAnsi"/>
          <w:b/>
          <w:sz w:val="24"/>
          <w:szCs w:val="24"/>
        </w:rPr>
        <w:t xml:space="preserve">communication strategies </w:t>
      </w:r>
      <w:r w:rsidR="004619D0" w:rsidRPr="00BB07D0">
        <w:rPr>
          <w:rFonts w:ascii="Crimson Pro" w:hAnsi="Crimson Pro" w:cstheme="minorHAnsi"/>
          <w:b/>
          <w:sz w:val="24"/>
          <w:szCs w:val="24"/>
        </w:rPr>
        <w:t>to protect population</w:t>
      </w:r>
      <w:r w:rsidR="009D10E5" w:rsidRPr="00BB07D0">
        <w:rPr>
          <w:rFonts w:ascii="Crimson Pro" w:hAnsi="Crimson Pro" w:cstheme="minorHAnsi"/>
          <w:b/>
          <w:sz w:val="24"/>
          <w:szCs w:val="24"/>
        </w:rPr>
        <w:t xml:space="preserve"> health</w:t>
      </w:r>
      <w:r w:rsidR="004619D0" w:rsidRPr="00BB07D0">
        <w:rPr>
          <w:rFonts w:ascii="Crimson Pro" w:hAnsi="Crimson Pro" w:cstheme="minorHAnsi"/>
          <w:b/>
          <w:sz w:val="24"/>
          <w:szCs w:val="24"/>
        </w:rPr>
        <w:t>?</w:t>
      </w:r>
      <w:r w:rsidR="00866A29" w:rsidRPr="00594B10">
        <w:rPr>
          <w:rFonts w:ascii="Crimson Pro" w:hAnsi="Crimson Pro" w:cstheme="minorHAnsi"/>
          <w:sz w:val="24"/>
          <w:szCs w:val="24"/>
        </w:rPr>
        <w:t xml:space="preserve"> </w:t>
      </w:r>
      <w:r>
        <w:rPr>
          <w:rFonts w:ascii="Crimson Pro" w:hAnsi="Crimson Pro" w:cstheme="minorHAnsi"/>
          <w:sz w:val="24"/>
          <w:szCs w:val="24"/>
        </w:rPr>
        <w:t>With distinctive</w:t>
      </w:r>
      <w:r w:rsidRPr="005110D1">
        <w:rPr>
          <w:rFonts w:ascii="Crimson Pro" w:hAnsi="Crimson Pro" w:cstheme="minorHAnsi"/>
          <w:sz w:val="24"/>
          <w:szCs w:val="24"/>
        </w:rPr>
        <w:t xml:space="preserve"> cultural, political, and social systems</w:t>
      </w:r>
      <w:r>
        <w:rPr>
          <w:rFonts w:ascii="Crimson Pro" w:hAnsi="Crimson Pro" w:cstheme="minorHAnsi"/>
          <w:sz w:val="24"/>
          <w:szCs w:val="24"/>
        </w:rPr>
        <w:t xml:space="preserve">, Asia-Pacific societies </w:t>
      </w:r>
      <w:r w:rsidR="00B346FF">
        <w:rPr>
          <w:rFonts w:ascii="Crimson Pro" w:hAnsi="Crimson Pro" w:cstheme="minorHAnsi"/>
          <w:sz w:val="24"/>
          <w:szCs w:val="24"/>
        </w:rPr>
        <w:t xml:space="preserve">can </w:t>
      </w:r>
      <w:r>
        <w:rPr>
          <w:rFonts w:ascii="Crimson Pro" w:hAnsi="Crimson Pro" w:cstheme="minorHAnsi"/>
          <w:sz w:val="24"/>
          <w:szCs w:val="24"/>
        </w:rPr>
        <w:t xml:space="preserve">offer </w:t>
      </w:r>
      <w:r w:rsidR="00514B3E">
        <w:rPr>
          <w:rFonts w:ascii="Crimson Pro" w:hAnsi="Crimson Pro" w:cstheme="minorHAnsi"/>
          <w:sz w:val="24"/>
          <w:szCs w:val="24"/>
        </w:rPr>
        <w:t xml:space="preserve">compelling </w:t>
      </w:r>
      <w:r w:rsidRPr="005110D1">
        <w:rPr>
          <w:rFonts w:ascii="Crimson Pro" w:hAnsi="Crimson Pro" w:cstheme="minorHAnsi"/>
          <w:sz w:val="24"/>
          <w:szCs w:val="24"/>
        </w:rPr>
        <w:t xml:space="preserve">lessons </w:t>
      </w:r>
      <w:r>
        <w:rPr>
          <w:rFonts w:ascii="Crimson Pro" w:hAnsi="Crimson Pro" w:cstheme="minorHAnsi"/>
          <w:sz w:val="24"/>
          <w:szCs w:val="24"/>
        </w:rPr>
        <w:t>for</w:t>
      </w:r>
      <w:r w:rsidRPr="005110D1">
        <w:rPr>
          <w:rFonts w:ascii="Crimson Pro" w:hAnsi="Crimson Pro" w:cstheme="minorHAnsi"/>
          <w:sz w:val="24"/>
          <w:szCs w:val="24"/>
        </w:rPr>
        <w:t xml:space="preserve"> the world in navigating misinformation and disinformation to promote public health.</w:t>
      </w:r>
      <w:bookmarkStart w:id="1" w:name="_GoBack"/>
      <w:bookmarkEnd w:id="1"/>
    </w:p>
    <w:bookmarkEnd w:id="0"/>
    <w:p w14:paraId="43F0BF31" w14:textId="49A40FB9" w:rsidR="0020798F" w:rsidRPr="00F935CA" w:rsidRDefault="0020798F" w:rsidP="00B54BF1">
      <w:pPr>
        <w:rPr>
          <w:rFonts w:ascii="Crimson Pro" w:hAnsi="Crimson Pro" w:cstheme="minorHAnsi"/>
          <w:b/>
          <w:bCs/>
          <w:sz w:val="24"/>
          <w:szCs w:val="24"/>
        </w:rPr>
      </w:pPr>
      <w:r w:rsidRPr="00F935CA">
        <w:rPr>
          <w:rFonts w:ascii="Crimson Pro" w:hAnsi="Crimson Pro" w:cstheme="minorHAnsi"/>
          <w:b/>
          <w:bCs/>
          <w:sz w:val="24"/>
          <w:szCs w:val="24"/>
        </w:rPr>
        <w:t xml:space="preserve">About the </w:t>
      </w:r>
      <w:r w:rsidR="006D5D63" w:rsidRPr="00F935CA">
        <w:rPr>
          <w:rFonts w:ascii="Crimson Pro" w:hAnsi="Crimson Pro" w:cstheme="minorHAnsi"/>
          <w:b/>
          <w:bCs/>
          <w:sz w:val="24"/>
          <w:szCs w:val="24"/>
        </w:rPr>
        <w:t>series</w:t>
      </w:r>
    </w:p>
    <w:p w14:paraId="6897751F" w14:textId="1D667BFA" w:rsidR="00B54BF1" w:rsidRPr="00F935CA" w:rsidRDefault="00B54BF1" w:rsidP="00B54BF1">
      <w:pPr>
        <w:rPr>
          <w:rFonts w:ascii="Crimson Pro" w:hAnsi="Crimson Pro" w:cstheme="minorHAnsi"/>
          <w:sz w:val="24"/>
          <w:szCs w:val="24"/>
        </w:rPr>
      </w:pPr>
      <w:bookmarkStart w:id="2" w:name="_Hlk135659749"/>
      <w:r w:rsidRPr="00F935CA">
        <w:rPr>
          <w:rFonts w:ascii="Crimson Pro" w:hAnsi="Crimson Pro" w:cstheme="minorHAnsi"/>
          <w:sz w:val="24"/>
          <w:szCs w:val="24"/>
        </w:rPr>
        <w:t xml:space="preserve">This series of </w:t>
      </w:r>
      <w:r w:rsidR="00C00F81">
        <w:rPr>
          <w:rFonts w:ascii="Crimson Pro" w:hAnsi="Crimson Pro" w:cstheme="minorHAnsi"/>
          <w:sz w:val="24"/>
          <w:szCs w:val="24"/>
        </w:rPr>
        <w:t>memos</w:t>
      </w:r>
      <w:r w:rsidRPr="00F935CA">
        <w:rPr>
          <w:rFonts w:ascii="Crimson Pro" w:hAnsi="Crimson Pro" w:cstheme="minorHAnsi"/>
          <w:sz w:val="24"/>
          <w:szCs w:val="24"/>
        </w:rPr>
        <w:t xml:space="preserve"> will examine how different countries in the Asia</w:t>
      </w:r>
      <w:r w:rsidR="00514B3E">
        <w:rPr>
          <w:rFonts w:ascii="Crimson Pro" w:hAnsi="Crimson Pro" w:cstheme="minorHAnsi"/>
          <w:sz w:val="24"/>
          <w:szCs w:val="24"/>
        </w:rPr>
        <w:t>-</w:t>
      </w:r>
      <w:r w:rsidRPr="00F935CA">
        <w:rPr>
          <w:rFonts w:ascii="Crimson Pro" w:hAnsi="Crimson Pro" w:cstheme="minorHAnsi"/>
          <w:sz w:val="24"/>
          <w:szCs w:val="24"/>
        </w:rPr>
        <w:t xml:space="preserve">Pacific experience vaccine hesitancy, both historically and </w:t>
      </w:r>
      <w:r w:rsidR="00514B3E">
        <w:rPr>
          <w:rFonts w:ascii="Crimson Pro" w:hAnsi="Crimson Pro" w:cstheme="minorHAnsi"/>
          <w:sz w:val="24"/>
          <w:szCs w:val="24"/>
        </w:rPr>
        <w:t>during</w:t>
      </w:r>
      <w:r w:rsidR="00514B3E" w:rsidRPr="00F935CA">
        <w:rPr>
          <w:rFonts w:ascii="Crimson Pro" w:hAnsi="Crimson Pro" w:cstheme="minorHAnsi"/>
          <w:sz w:val="24"/>
          <w:szCs w:val="24"/>
        </w:rPr>
        <w:t xml:space="preserve"> </w:t>
      </w:r>
      <w:r w:rsidRPr="00F935CA">
        <w:rPr>
          <w:rFonts w:ascii="Crimson Pro" w:hAnsi="Crimson Pro" w:cstheme="minorHAnsi"/>
          <w:sz w:val="24"/>
          <w:szCs w:val="24"/>
        </w:rPr>
        <w:t xml:space="preserve">the COVID-19 pandemic, and the role of misinformation and disinformation in government and civil society efforts to promote vaccination. </w:t>
      </w:r>
      <w:bookmarkEnd w:id="2"/>
      <w:r w:rsidR="00301AC8" w:rsidRPr="00F935CA">
        <w:rPr>
          <w:rFonts w:ascii="Crimson Pro" w:hAnsi="Crimson Pro" w:cstheme="minorHAnsi"/>
          <w:sz w:val="24"/>
          <w:szCs w:val="24"/>
        </w:rPr>
        <w:t>The planned table of contents</w:t>
      </w:r>
      <w:r w:rsidR="002B4C4D">
        <w:rPr>
          <w:rFonts w:ascii="Crimson Pro" w:hAnsi="Crimson Pro" w:cstheme="minorHAnsi"/>
          <w:sz w:val="24"/>
          <w:szCs w:val="24"/>
        </w:rPr>
        <w:t xml:space="preserve"> for th</w:t>
      </w:r>
      <w:r w:rsidR="00514B3E">
        <w:rPr>
          <w:rFonts w:ascii="Crimson Pro" w:hAnsi="Crimson Pro" w:cstheme="minorHAnsi"/>
          <w:sz w:val="24"/>
          <w:szCs w:val="24"/>
        </w:rPr>
        <w:t>e</w:t>
      </w:r>
      <w:r w:rsidR="002B4C4D">
        <w:rPr>
          <w:rFonts w:ascii="Crimson Pro" w:hAnsi="Crimson Pro" w:cstheme="minorHAnsi"/>
          <w:sz w:val="24"/>
          <w:szCs w:val="24"/>
        </w:rPr>
        <w:t xml:space="preserve"> </w:t>
      </w:r>
      <w:r w:rsidR="009D10E5">
        <w:rPr>
          <w:rFonts w:ascii="Crimson Pro" w:hAnsi="Crimson Pro" w:cstheme="minorHAnsi"/>
          <w:sz w:val="24"/>
          <w:szCs w:val="24"/>
        </w:rPr>
        <w:t xml:space="preserve">first </w:t>
      </w:r>
      <w:r w:rsidR="002B4C4D">
        <w:rPr>
          <w:rFonts w:ascii="Crimson Pro" w:hAnsi="Crimson Pro" w:cstheme="minorHAnsi"/>
          <w:sz w:val="24"/>
          <w:szCs w:val="24"/>
        </w:rPr>
        <w:t>phase</w:t>
      </w:r>
      <w:r w:rsidR="00301AC8" w:rsidRPr="00F935CA">
        <w:rPr>
          <w:rFonts w:ascii="Crimson Pro" w:hAnsi="Crimson Pro" w:cstheme="minorHAnsi"/>
          <w:sz w:val="24"/>
          <w:szCs w:val="24"/>
        </w:rPr>
        <w:t xml:space="preserve"> </w:t>
      </w:r>
      <w:r w:rsidR="009D10E5">
        <w:rPr>
          <w:rFonts w:ascii="Crimson Pro" w:hAnsi="Crimson Pro" w:cstheme="minorHAnsi"/>
          <w:sz w:val="24"/>
          <w:szCs w:val="24"/>
        </w:rPr>
        <w:t xml:space="preserve">of the series </w:t>
      </w:r>
      <w:r w:rsidR="00301AC8" w:rsidRPr="00F935CA">
        <w:rPr>
          <w:rFonts w:ascii="Crimson Pro" w:hAnsi="Crimson Pro" w:cstheme="minorHAnsi"/>
          <w:sz w:val="24"/>
          <w:szCs w:val="24"/>
        </w:rPr>
        <w:t>is as follows:</w:t>
      </w:r>
    </w:p>
    <w:p w14:paraId="6C08A6A7" w14:textId="43E9758F" w:rsidR="00481B9B" w:rsidRPr="00F935CA" w:rsidRDefault="00481B9B" w:rsidP="00481B9B">
      <w:pPr>
        <w:pStyle w:val="ListParagraph"/>
        <w:numPr>
          <w:ilvl w:val="0"/>
          <w:numId w:val="3"/>
        </w:numPr>
        <w:rPr>
          <w:rFonts w:ascii="Crimson Pro" w:hAnsi="Crimson Pro" w:cstheme="minorHAnsi"/>
          <w:sz w:val="24"/>
          <w:szCs w:val="24"/>
        </w:rPr>
      </w:pPr>
      <w:r w:rsidRPr="00F935CA">
        <w:rPr>
          <w:rFonts w:ascii="Crimson Pro" w:hAnsi="Crimson Pro" w:cstheme="minorHAnsi"/>
          <w:sz w:val="24"/>
          <w:szCs w:val="24"/>
        </w:rPr>
        <w:t>Introduction</w:t>
      </w:r>
      <w:r w:rsidR="00793570" w:rsidRPr="00F935CA">
        <w:rPr>
          <w:rFonts w:ascii="Crimson Pro" w:hAnsi="Crimson Pro" w:cstheme="minorHAnsi"/>
          <w:sz w:val="24"/>
          <w:szCs w:val="24"/>
        </w:rPr>
        <w:t xml:space="preserve"> </w:t>
      </w:r>
      <w:r w:rsidRPr="00F935CA">
        <w:rPr>
          <w:rFonts w:ascii="Crimson Pro" w:hAnsi="Crimson Pro" w:cstheme="minorHAnsi"/>
          <w:sz w:val="24"/>
          <w:szCs w:val="24"/>
        </w:rPr>
        <w:t>by CAPRI</w:t>
      </w:r>
    </w:p>
    <w:p w14:paraId="403ED2D7" w14:textId="60BA7839" w:rsidR="00481B9B" w:rsidRPr="00F935CA" w:rsidRDefault="00481B9B" w:rsidP="00481B9B">
      <w:pPr>
        <w:pStyle w:val="ListParagraph"/>
        <w:numPr>
          <w:ilvl w:val="0"/>
          <w:numId w:val="3"/>
        </w:numPr>
        <w:rPr>
          <w:rFonts w:ascii="Crimson Pro" w:hAnsi="Crimson Pro" w:cstheme="minorHAnsi"/>
          <w:sz w:val="24"/>
          <w:szCs w:val="24"/>
        </w:rPr>
      </w:pPr>
      <w:r w:rsidRPr="00F935CA">
        <w:rPr>
          <w:rFonts w:ascii="Crimson Pro" w:hAnsi="Crimson Pro" w:cstheme="minorHAnsi"/>
          <w:sz w:val="24"/>
          <w:szCs w:val="24"/>
        </w:rPr>
        <w:t xml:space="preserve">Japan by </w:t>
      </w:r>
      <w:proofErr w:type="spellStart"/>
      <w:r w:rsidRPr="00F935CA">
        <w:rPr>
          <w:rFonts w:ascii="Crimson Pro" w:hAnsi="Crimson Pro" w:cstheme="minorHAnsi"/>
          <w:sz w:val="24"/>
          <w:szCs w:val="24"/>
        </w:rPr>
        <w:t>Shuhei</w:t>
      </w:r>
      <w:proofErr w:type="spellEnd"/>
      <w:r w:rsidRPr="00F935CA">
        <w:rPr>
          <w:rFonts w:ascii="Crimson Pro" w:hAnsi="Crimson Pro" w:cstheme="minorHAnsi"/>
          <w:sz w:val="24"/>
          <w:szCs w:val="24"/>
        </w:rPr>
        <w:t xml:space="preserve"> Nomura</w:t>
      </w:r>
    </w:p>
    <w:p w14:paraId="63C991D7" w14:textId="30DF0BA5" w:rsidR="00481B9B" w:rsidRPr="00F935CA" w:rsidRDefault="00481B9B" w:rsidP="00481B9B">
      <w:pPr>
        <w:pStyle w:val="ListParagraph"/>
        <w:numPr>
          <w:ilvl w:val="0"/>
          <w:numId w:val="3"/>
        </w:numPr>
        <w:rPr>
          <w:rFonts w:ascii="Crimson Pro" w:hAnsi="Crimson Pro" w:cstheme="minorHAnsi"/>
          <w:sz w:val="24"/>
          <w:szCs w:val="24"/>
        </w:rPr>
      </w:pPr>
      <w:r w:rsidRPr="00F935CA">
        <w:rPr>
          <w:rFonts w:ascii="Crimson Pro" w:hAnsi="Crimson Pro" w:cstheme="minorHAnsi"/>
          <w:sz w:val="24"/>
          <w:szCs w:val="24"/>
        </w:rPr>
        <w:t>Taiwan by Chrissy Cook</w:t>
      </w:r>
    </w:p>
    <w:p w14:paraId="1B02BBC3" w14:textId="6BA4EF4B" w:rsidR="00481B9B" w:rsidRPr="00F935CA" w:rsidRDefault="00481B9B" w:rsidP="00481B9B">
      <w:pPr>
        <w:pStyle w:val="ListParagraph"/>
        <w:numPr>
          <w:ilvl w:val="0"/>
          <w:numId w:val="3"/>
        </w:numPr>
        <w:rPr>
          <w:rFonts w:ascii="Crimson Pro" w:hAnsi="Crimson Pro" w:cstheme="minorHAnsi"/>
          <w:sz w:val="24"/>
          <w:szCs w:val="24"/>
        </w:rPr>
      </w:pPr>
      <w:r w:rsidRPr="00F935CA">
        <w:rPr>
          <w:rFonts w:ascii="Crimson Pro" w:hAnsi="Crimson Pro" w:cstheme="minorHAnsi"/>
          <w:sz w:val="24"/>
          <w:szCs w:val="24"/>
        </w:rPr>
        <w:t>Vietnam by Yen Pottinger</w:t>
      </w:r>
    </w:p>
    <w:p w14:paraId="0CABB1ED" w14:textId="41C173BA" w:rsidR="003F25B1" w:rsidRDefault="002B4C4D" w:rsidP="003F25B1">
      <w:pPr>
        <w:rPr>
          <w:rFonts w:ascii="Crimson Pro" w:hAnsi="Crimson Pro" w:cstheme="minorHAnsi"/>
          <w:sz w:val="24"/>
          <w:szCs w:val="24"/>
        </w:rPr>
      </w:pPr>
      <w:r w:rsidRPr="002B4C4D">
        <w:rPr>
          <w:rFonts w:ascii="Crimson Pro" w:hAnsi="Crimson Pro" w:cstheme="minorHAnsi"/>
          <w:sz w:val="24"/>
          <w:szCs w:val="24"/>
        </w:rPr>
        <w:t xml:space="preserve">Each </w:t>
      </w:r>
      <w:r w:rsidR="009D10E5">
        <w:rPr>
          <w:rFonts w:ascii="Crimson Pro" w:hAnsi="Crimson Pro" w:cstheme="minorHAnsi"/>
          <w:sz w:val="24"/>
          <w:szCs w:val="24"/>
        </w:rPr>
        <w:t>brief</w:t>
      </w:r>
      <w:r w:rsidRPr="002B4C4D">
        <w:rPr>
          <w:rFonts w:ascii="Crimson Pro" w:hAnsi="Crimson Pro" w:cstheme="minorHAnsi"/>
          <w:sz w:val="24"/>
          <w:szCs w:val="24"/>
        </w:rPr>
        <w:t xml:space="preserve"> should be approximately </w:t>
      </w:r>
      <w:r w:rsidR="00B12824">
        <w:rPr>
          <w:rFonts w:ascii="Crimson Pro" w:hAnsi="Crimson Pro" w:cstheme="minorHAnsi"/>
          <w:sz w:val="24"/>
          <w:szCs w:val="24"/>
        </w:rPr>
        <w:t>3</w:t>
      </w:r>
      <w:r w:rsidR="00AE6009">
        <w:rPr>
          <w:rFonts w:ascii="Crimson Pro" w:hAnsi="Crimson Pro" w:cstheme="minorHAnsi"/>
          <w:sz w:val="24"/>
          <w:szCs w:val="24"/>
        </w:rPr>
        <w:t>,000</w:t>
      </w:r>
      <w:r w:rsidRPr="002B4C4D">
        <w:rPr>
          <w:rFonts w:ascii="Crimson Pro" w:hAnsi="Crimson Pro" w:cstheme="minorHAnsi"/>
          <w:sz w:val="24"/>
          <w:szCs w:val="24"/>
        </w:rPr>
        <w:t xml:space="preserve"> words long </w:t>
      </w:r>
      <w:r w:rsidR="001D1944">
        <w:rPr>
          <w:rFonts w:ascii="Crimson Pro" w:hAnsi="Crimson Pro" w:cstheme="minorHAnsi"/>
          <w:sz w:val="24"/>
          <w:szCs w:val="24"/>
        </w:rPr>
        <w:t>(plus a</w:t>
      </w:r>
      <w:r w:rsidR="00B12824">
        <w:rPr>
          <w:rFonts w:ascii="Crimson Pro" w:hAnsi="Crimson Pro" w:cstheme="minorHAnsi"/>
          <w:sz w:val="24"/>
          <w:szCs w:val="24"/>
        </w:rPr>
        <w:t>n abstract of 300–4</w:t>
      </w:r>
      <w:r w:rsidR="001D1944">
        <w:rPr>
          <w:rFonts w:ascii="Crimson Pro" w:hAnsi="Crimson Pro" w:cstheme="minorHAnsi"/>
          <w:sz w:val="24"/>
          <w:szCs w:val="24"/>
        </w:rPr>
        <w:t>00</w:t>
      </w:r>
      <w:r w:rsidR="00B12824">
        <w:rPr>
          <w:rFonts w:ascii="Crimson Pro" w:hAnsi="Crimson Pro" w:cstheme="minorHAnsi"/>
          <w:sz w:val="24"/>
          <w:szCs w:val="24"/>
        </w:rPr>
        <w:t xml:space="preserve"> </w:t>
      </w:r>
      <w:r w:rsidR="001D1944">
        <w:rPr>
          <w:rFonts w:ascii="Crimson Pro" w:hAnsi="Crimson Pro" w:cstheme="minorHAnsi"/>
          <w:sz w:val="24"/>
          <w:szCs w:val="24"/>
        </w:rPr>
        <w:t>wor</w:t>
      </w:r>
      <w:r w:rsidR="00B12824">
        <w:rPr>
          <w:rFonts w:ascii="Crimson Pro" w:hAnsi="Crimson Pro" w:cstheme="minorHAnsi"/>
          <w:sz w:val="24"/>
          <w:szCs w:val="24"/>
        </w:rPr>
        <w:t>ds</w:t>
      </w:r>
      <w:r w:rsidR="001D1944">
        <w:rPr>
          <w:rFonts w:ascii="Crimson Pro" w:hAnsi="Crimson Pro" w:cstheme="minorHAnsi"/>
          <w:sz w:val="24"/>
          <w:szCs w:val="24"/>
        </w:rPr>
        <w:t xml:space="preserve">) </w:t>
      </w:r>
      <w:r w:rsidRPr="002B4C4D">
        <w:rPr>
          <w:rFonts w:ascii="Crimson Pro" w:hAnsi="Crimson Pro" w:cstheme="minorHAnsi"/>
          <w:sz w:val="24"/>
          <w:szCs w:val="24"/>
        </w:rPr>
        <w:t xml:space="preserve">and include the </w:t>
      </w:r>
      <w:r>
        <w:rPr>
          <w:rFonts w:ascii="Crimson Pro" w:hAnsi="Crimson Pro" w:cstheme="minorHAnsi"/>
          <w:sz w:val="24"/>
          <w:szCs w:val="24"/>
        </w:rPr>
        <w:t>headings</w:t>
      </w:r>
      <w:r w:rsidRPr="002B4C4D">
        <w:rPr>
          <w:rFonts w:ascii="Crimson Pro" w:hAnsi="Crimson Pro" w:cstheme="minorHAnsi"/>
          <w:sz w:val="24"/>
          <w:szCs w:val="24"/>
        </w:rPr>
        <w:t xml:space="preserve"> outlined below. </w:t>
      </w:r>
      <w:r>
        <w:rPr>
          <w:rFonts w:ascii="Crimson Pro" w:hAnsi="Crimson Pro" w:cstheme="minorHAnsi"/>
          <w:sz w:val="24"/>
          <w:szCs w:val="24"/>
        </w:rPr>
        <w:t xml:space="preserve">We expect this series to reach health policymakers, academics, and members of the public interested in </w:t>
      </w:r>
      <w:r w:rsidR="00594B10">
        <w:rPr>
          <w:rFonts w:ascii="Crimson Pro" w:hAnsi="Crimson Pro" w:cstheme="minorHAnsi"/>
          <w:sz w:val="24"/>
          <w:szCs w:val="24"/>
        </w:rPr>
        <w:t xml:space="preserve">public health, </w:t>
      </w:r>
      <w:r>
        <w:rPr>
          <w:rFonts w:ascii="Crimson Pro" w:hAnsi="Crimson Pro" w:cstheme="minorHAnsi"/>
          <w:sz w:val="24"/>
          <w:szCs w:val="24"/>
        </w:rPr>
        <w:t>communication</w:t>
      </w:r>
      <w:r w:rsidR="00594B10">
        <w:rPr>
          <w:rFonts w:ascii="Crimson Pro" w:hAnsi="Crimson Pro" w:cstheme="minorHAnsi"/>
          <w:sz w:val="24"/>
          <w:szCs w:val="24"/>
        </w:rPr>
        <w:t xml:space="preserve"> and media,</w:t>
      </w:r>
      <w:r>
        <w:rPr>
          <w:rFonts w:ascii="Crimson Pro" w:hAnsi="Crimson Pro" w:cstheme="minorHAnsi"/>
          <w:sz w:val="24"/>
          <w:szCs w:val="24"/>
        </w:rPr>
        <w:t xml:space="preserve"> and public policy.</w:t>
      </w:r>
      <w:r w:rsidR="00C00F81">
        <w:rPr>
          <w:rFonts w:ascii="Crimson Pro" w:hAnsi="Crimson Pro" w:cstheme="minorHAnsi"/>
          <w:sz w:val="24"/>
          <w:szCs w:val="24"/>
        </w:rPr>
        <w:t xml:space="preserve"> The memo </w:t>
      </w:r>
      <w:r w:rsidR="00D50E26">
        <w:rPr>
          <w:rFonts w:ascii="Crimson Pro" w:hAnsi="Crimson Pro" w:cstheme="minorHAnsi"/>
          <w:sz w:val="24"/>
          <w:szCs w:val="24"/>
        </w:rPr>
        <w:t xml:space="preserve">you contribute to </w:t>
      </w:r>
      <w:r w:rsidR="00C00F81">
        <w:rPr>
          <w:rFonts w:ascii="Crimson Pro" w:hAnsi="Crimson Pro" w:cstheme="minorHAnsi"/>
          <w:sz w:val="24"/>
          <w:szCs w:val="24"/>
        </w:rPr>
        <w:t xml:space="preserve">this series can form the basis of </w:t>
      </w:r>
      <w:r w:rsidR="00D50E26">
        <w:rPr>
          <w:rFonts w:ascii="Crimson Pro" w:hAnsi="Crimson Pro" w:cstheme="minorHAnsi"/>
          <w:sz w:val="24"/>
          <w:szCs w:val="24"/>
        </w:rPr>
        <w:t xml:space="preserve">a </w:t>
      </w:r>
      <w:r w:rsidR="00C00F81">
        <w:rPr>
          <w:rFonts w:ascii="Crimson Pro" w:hAnsi="Crimson Pro" w:cstheme="minorHAnsi"/>
          <w:sz w:val="24"/>
          <w:szCs w:val="24"/>
        </w:rPr>
        <w:t xml:space="preserve">longer (~10,000-word) </w:t>
      </w:r>
      <w:r w:rsidR="002E261A">
        <w:rPr>
          <w:rFonts w:ascii="Crimson Pro" w:hAnsi="Crimson Pro" w:cstheme="minorHAnsi"/>
          <w:sz w:val="24"/>
          <w:szCs w:val="24"/>
        </w:rPr>
        <w:t xml:space="preserve">future </w:t>
      </w:r>
      <w:r w:rsidR="00C00F81">
        <w:rPr>
          <w:rFonts w:ascii="Crimson Pro" w:hAnsi="Crimson Pro" w:cstheme="minorHAnsi"/>
          <w:sz w:val="24"/>
          <w:szCs w:val="24"/>
        </w:rPr>
        <w:t xml:space="preserve">research piece. </w:t>
      </w:r>
      <w:r w:rsidR="00C00F81" w:rsidRPr="00C00F81">
        <w:rPr>
          <w:rFonts w:ascii="Crimson Pro" w:hAnsi="Crimson Pro" w:cstheme="minorHAnsi"/>
          <w:sz w:val="24"/>
          <w:szCs w:val="24"/>
        </w:rPr>
        <w:t>Memos covering additional countries in the region will be added in future iterations of this series.</w:t>
      </w:r>
    </w:p>
    <w:p w14:paraId="70081244" w14:textId="14FA19D9" w:rsidR="00D50E26" w:rsidRPr="00D50E26" w:rsidRDefault="00D50E26" w:rsidP="00D50E26">
      <w:pPr>
        <w:rPr>
          <w:rFonts w:ascii="Crimson Pro" w:hAnsi="Crimson Pro" w:cstheme="minorHAnsi"/>
          <w:b/>
          <w:bCs/>
          <w:sz w:val="24"/>
          <w:szCs w:val="24"/>
        </w:rPr>
      </w:pPr>
      <w:r w:rsidRPr="00D50E26">
        <w:rPr>
          <w:rFonts w:ascii="Crimson Pro" w:hAnsi="Crimson Pro" w:cstheme="minorHAnsi"/>
          <w:b/>
          <w:bCs/>
          <w:sz w:val="24"/>
          <w:szCs w:val="24"/>
        </w:rPr>
        <w:t>Project timeline</w:t>
      </w:r>
    </w:p>
    <w:p w14:paraId="047F8E9C" w14:textId="019C9D8A" w:rsidR="00D50E26" w:rsidRPr="00D50E26" w:rsidRDefault="006F4EA4" w:rsidP="00D50E26">
      <w:pPr>
        <w:spacing w:after="0"/>
        <w:rPr>
          <w:rFonts w:ascii="Crimson Pro" w:hAnsi="Crimson Pro" w:cstheme="minorHAnsi"/>
          <w:sz w:val="24"/>
          <w:szCs w:val="24"/>
        </w:rPr>
      </w:pPr>
      <w:r>
        <w:rPr>
          <w:rFonts w:ascii="Crimson Pro" w:hAnsi="Crimson Pro" w:cstheme="minorHAnsi"/>
          <w:sz w:val="24"/>
          <w:szCs w:val="24"/>
        </w:rPr>
        <w:t xml:space="preserve">February 7, </w:t>
      </w:r>
      <w:r w:rsidR="00D50E26" w:rsidRPr="00D50E26">
        <w:rPr>
          <w:rFonts w:ascii="Crimson Pro" w:hAnsi="Crimson Pro" w:cstheme="minorHAnsi"/>
          <w:sz w:val="24"/>
          <w:szCs w:val="24"/>
        </w:rPr>
        <w:t xml:space="preserve">2024: </w:t>
      </w:r>
      <w:r>
        <w:rPr>
          <w:rFonts w:ascii="Crimson Pro" w:hAnsi="Crimson Pro" w:cstheme="minorHAnsi"/>
          <w:sz w:val="24"/>
          <w:szCs w:val="24"/>
        </w:rPr>
        <w:t>Outline/abstracts are submitted</w:t>
      </w:r>
    </w:p>
    <w:p w14:paraId="2C8EA2BB" w14:textId="6BFBEBC9" w:rsidR="00D50E26" w:rsidRPr="00D50E26" w:rsidRDefault="00D50E26" w:rsidP="00D50E26">
      <w:pPr>
        <w:spacing w:after="0"/>
        <w:rPr>
          <w:rFonts w:ascii="Crimson Pro" w:hAnsi="Crimson Pro" w:cstheme="minorHAnsi"/>
          <w:sz w:val="24"/>
          <w:szCs w:val="24"/>
        </w:rPr>
      </w:pPr>
      <w:r w:rsidRPr="00D50E26">
        <w:rPr>
          <w:rFonts w:ascii="Crimson Pro" w:hAnsi="Crimson Pro" w:cstheme="minorHAnsi"/>
          <w:sz w:val="24"/>
          <w:szCs w:val="24"/>
        </w:rPr>
        <w:lastRenderedPageBreak/>
        <w:t xml:space="preserve">March 2024: </w:t>
      </w:r>
      <w:r w:rsidR="006F4EA4">
        <w:rPr>
          <w:rFonts w:ascii="Crimson Pro" w:hAnsi="Crimson Pro" w:cstheme="minorHAnsi"/>
          <w:sz w:val="24"/>
          <w:szCs w:val="24"/>
        </w:rPr>
        <w:t xml:space="preserve">Draft </w:t>
      </w:r>
      <w:r w:rsidRPr="00D50E26">
        <w:rPr>
          <w:rFonts w:ascii="Crimson Pro" w:hAnsi="Crimson Pro" w:cstheme="minorHAnsi"/>
          <w:sz w:val="24"/>
          <w:szCs w:val="24"/>
        </w:rPr>
        <w:t>briefs are submitted</w:t>
      </w:r>
      <w:r w:rsidR="006F4EA4">
        <w:rPr>
          <w:rFonts w:ascii="Crimson Pro" w:hAnsi="Crimson Pro" w:cstheme="minorHAnsi"/>
          <w:sz w:val="24"/>
          <w:szCs w:val="24"/>
        </w:rPr>
        <w:t xml:space="preserve"> and reviewed</w:t>
      </w:r>
      <w:r w:rsidRPr="00D50E26">
        <w:rPr>
          <w:rFonts w:ascii="Crimson Pro" w:hAnsi="Crimson Pro" w:cstheme="minorHAnsi"/>
          <w:sz w:val="24"/>
          <w:szCs w:val="24"/>
        </w:rPr>
        <w:t xml:space="preserve">, CAPRI drafts series’ introduction </w:t>
      </w:r>
      <w:r w:rsidR="006F4EA4">
        <w:rPr>
          <w:rFonts w:ascii="Crimson Pro" w:hAnsi="Crimson Pro" w:cstheme="minorHAnsi"/>
          <w:sz w:val="24"/>
          <w:szCs w:val="24"/>
        </w:rPr>
        <w:t>and returns comments to authors</w:t>
      </w:r>
    </w:p>
    <w:p w14:paraId="7705B247" w14:textId="6FC546CA" w:rsidR="00D50E26" w:rsidRPr="00D50E26" w:rsidRDefault="00D50E26" w:rsidP="00D50E26">
      <w:pPr>
        <w:spacing w:after="0"/>
        <w:rPr>
          <w:rFonts w:ascii="Crimson Pro" w:hAnsi="Crimson Pro" w:cstheme="minorHAnsi"/>
          <w:sz w:val="24"/>
          <w:szCs w:val="24"/>
        </w:rPr>
      </w:pPr>
      <w:r w:rsidRPr="00D50E26">
        <w:rPr>
          <w:rFonts w:ascii="Crimson Pro" w:hAnsi="Crimson Pro" w:cstheme="minorHAnsi"/>
          <w:sz w:val="24"/>
          <w:szCs w:val="24"/>
        </w:rPr>
        <w:t xml:space="preserve">April 2024: </w:t>
      </w:r>
      <w:r w:rsidR="006F4EA4">
        <w:rPr>
          <w:rFonts w:ascii="Crimson Pro" w:hAnsi="Crimson Pro" w:cstheme="minorHAnsi"/>
          <w:sz w:val="24"/>
          <w:szCs w:val="24"/>
        </w:rPr>
        <w:t>Final drafts are submitted and edited</w:t>
      </w:r>
    </w:p>
    <w:p w14:paraId="209BAD30" w14:textId="4A72F56D" w:rsidR="00D50E26" w:rsidRDefault="00D50E26" w:rsidP="00D50E26">
      <w:pPr>
        <w:spacing w:after="0"/>
        <w:rPr>
          <w:rFonts w:ascii="Crimson Pro" w:hAnsi="Crimson Pro" w:cstheme="minorHAnsi"/>
          <w:sz w:val="24"/>
          <w:szCs w:val="24"/>
        </w:rPr>
      </w:pPr>
      <w:r w:rsidRPr="00D50E26">
        <w:rPr>
          <w:rFonts w:ascii="Crimson Pro" w:hAnsi="Crimson Pro" w:cstheme="minorHAnsi"/>
          <w:sz w:val="24"/>
          <w:szCs w:val="24"/>
        </w:rPr>
        <w:t xml:space="preserve">May 6, 2024: Series is </w:t>
      </w:r>
      <w:r w:rsidR="006F4EA4">
        <w:rPr>
          <w:rFonts w:ascii="Crimson Pro" w:hAnsi="Crimson Pro" w:cstheme="minorHAnsi"/>
          <w:sz w:val="24"/>
          <w:szCs w:val="24"/>
        </w:rPr>
        <w:t xml:space="preserve">published online and </w:t>
      </w:r>
      <w:r w:rsidRPr="00D50E26">
        <w:rPr>
          <w:rFonts w:ascii="Crimson Pro" w:hAnsi="Crimson Pro" w:cstheme="minorHAnsi"/>
          <w:sz w:val="24"/>
          <w:szCs w:val="24"/>
        </w:rPr>
        <w:t>launched at CAPRI’s second Annual Forum</w:t>
      </w:r>
      <w:r w:rsidR="006F4EA4">
        <w:rPr>
          <w:rFonts w:ascii="Crimson Pro" w:hAnsi="Crimson Pro" w:cstheme="minorHAnsi"/>
          <w:sz w:val="24"/>
          <w:szCs w:val="24"/>
        </w:rPr>
        <w:t xml:space="preserve"> </w:t>
      </w:r>
      <w:r>
        <w:rPr>
          <w:rFonts w:ascii="Crimson Pro" w:hAnsi="Crimson Pro" w:cstheme="minorHAnsi"/>
          <w:sz w:val="24"/>
          <w:szCs w:val="24"/>
        </w:rPr>
        <w:br w:type="page"/>
      </w:r>
    </w:p>
    <w:p w14:paraId="333EC089" w14:textId="39D6B3D3" w:rsidR="00221462" w:rsidRPr="00F935CA" w:rsidRDefault="002B4C4D" w:rsidP="00221462">
      <w:pPr>
        <w:rPr>
          <w:rFonts w:ascii="Crimson Pro" w:hAnsi="Crimson Pro" w:cstheme="minorHAnsi"/>
          <w:b/>
          <w:bCs/>
          <w:sz w:val="24"/>
          <w:szCs w:val="24"/>
        </w:rPr>
      </w:pPr>
      <w:r>
        <w:rPr>
          <w:rFonts w:ascii="Crimson Pro" w:hAnsi="Crimson Pro" w:cstheme="minorHAnsi"/>
          <w:b/>
          <w:bCs/>
          <w:sz w:val="24"/>
          <w:szCs w:val="24"/>
        </w:rPr>
        <w:t xml:space="preserve">Framing questions for </w:t>
      </w:r>
      <w:r w:rsidR="00221462" w:rsidRPr="00F935CA">
        <w:rPr>
          <w:rFonts w:ascii="Crimson Pro" w:hAnsi="Crimson Pro" w:cstheme="minorHAnsi"/>
          <w:b/>
          <w:bCs/>
          <w:sz w:val="24"/>
          <w:szCs w:val="24"/>
        </w:rPr>
        <w:t xml:space="preserve">each </w:t>
      </w:r>
      <w:r w:rsidR="003F25B1" w:rsidRPr="00F935CA">
        <w:rPr>
          <w:rFonts w:ascii="Crimson Pro" w:hAnsi="Crimson Pro" w:cstheme="minorHAnsi"/>
          <w:b/>
          <w:bCs/>
          <w:sz w:val="24"/>
          <w:szCs w:val="24"/>
        </w:rPr>
        <w:t>chapter</w:t>
      </w:r>
    </w:p>
    <w:p w14:paraId="4314DC2D" w14:textId="756837D5" w:rsidR="00B346FF" w:rsidRDefault="00734146">
      <w:pPr>
        <w:rPr>
          <w:rFonts w:ascii="Crimson Pro" w:hAnsi="Crimson Pro" w:cstheme="minorHAnsi"/>
          <w:sz w:val="24"/>
          <w:szCs w:val="24"/>
        </w:rPr>
      </w:pPr>
      <w:r w:rsidRPr="00F935CA">
        <w:rPr>
          <w:rFonts w:ascii="Crimson Pro" w:hAnsi="Crimson Pro" w:cstheme="minorHAnsi"/>
          <w:sz w:val="24"/>
          <w:szCs w:val="24"/>
        </w:rPr>
        <w:t xml:space="preserve">The questions under each heading </w:t>
      </w:r>
      <w:r w:rsidR="00514B3E">
        <w:rPr>
          <w:rFonts w:ascii="Crimson Pro" w:hAnsi="Crimson Pro" w:cstheme="minorHAnsi"/>
          <w:sz w:val="24"/>
          <w:szCs w:val="24"/>
        </w:rPr>
        <w:t>should</w:t>
      </w:r>
      <w:r w:rsidRPr="00F935CA">
        <w:rPr>
          <w:rFonts w:ascii="Crimson Pro" w:hAnsi="Crimson Pro" w:cstheme="minorHAnsi"/>
          <w:sz w:val="24"/>
          <w:szCs w:val="24"/>
        </w:rPr>
        <w:t xml:space="preserve"> </w:t>
      </w:r>
      <w:r w:rsidR="00514B3E">
        <w:rPr>
          <w:rFonts w:ascii="Crimson Pro" w:hAnsi="Crimson Pro" w:cstheme="minorHAnsi"/>
          <w:sz w:val="24"/>
          <w:szCs w:val="24"/>
        </w:rPr>
        <w:t>guide your exploration</w:t>
      </w:r>
      <w:r w:rsidR="002B4C4D">
        <w:rPr>
          <w:rFonts w:ascii="Crimson Pro" w:hAnsi="Crimson Pro" w:cstheme="minorHAnsi"/>
          <w:sz w:val="24"/>
          <w:szCs w:val="24"/>
        </w:rPr>
        <w:t xml:space="preserve"> </w:t>
      </w:r>
      <w:r w:rsidR="00514B3E">
        <w:rPr>
          <w:rFonts w:ascii="Crimson Pro" w:hAnsi="Crimson Pro" w:cstheme="minorHAnsi"/>
          <w:sz w:val="24"/>
          <w:szCs w:val="24"/>
        </w:rPr>
        <w:t xml:space="preserve">and analysis </w:t>
      </w:r>
      <w:r w:rsidR="002B4C4D">
        <w:rPr>
          <w:rFonts w:ascii="Crimson Pro" w:hAnsi="Crimson Pro" w:cstheme="minorHAnsi"/>
          <w:sz w:val="24"/>
          <w:szCs w:val="24"/>
        </w:rPr>
        <w:t xml:space="preserve">of </w:t>
      </w:r>
      <w:r w:rsidRPr="00F935CA">
        <w:rPr>
          <w:rFonts w:ascii="Crimson Pro" w:hAnsi="Crimson Pro" w:cstheme="minorHAnsi"/>
          <w:sz w:val="24"/>
          <w:szCs w:val="24"/>
        </w:rPr>
        <w:t xml:space="preserve">vaccine hesitancy, the media environment, </w:t>
      </w:r>
      <w:r w:rsidR="002B4C4D">
        <w:rPr>
          <w:rFonts w:ascii="Crimson Pro" w:hAnsi="Crimson Pro" w:cstheme="minorHAnsi"/>
          <w:sz w:val="24"/>
          <w:szCs w:val="24"/>
        </w:rPr>
        <w:t xml:space="preserve">and </w:t>
      </w:r>
      <w:r w:rsidRPr="00F935CA">
        <w:rPr>
          <w:rFonts w:ascii="Crimson Pro" w:hAnsi="Crimson Pro" w:cstheme="minorHAnsi"/>
          <w:sz w:val="24"/>
          <w:szCs w:val="24"/>
        </w:rPr>
        <w:t xml:space="preserve">prevailing concerns about </w:t>
      </w:r>
      <w:r w:rsidR="005110D1">
        <w:rPr>
          <w:rFonts w:ascii="Crimson Pro" w:hAnsi="Crimson Pro" w:cstheme="minorHAnsi"/>
          <w:sz w:val="24"/>
          <w:szCs w:val="24"/>
        </w:rPr>
        <w:t xml:space="preserve">vaccine </w:t>
      </w:r>
      <w:r w:rsidRPr="00F935CA">
        <w:rPr>
          <w:rFonts w:ascii="Crimson Pro" w:hAnsi="Crimson Pro" w:cstheme="minorHAnsi"/>
          <w:sz w:val="24"/>
          <w:szCs w:val="24"/>
        </w:rPr>
        <w:t>misinformation and disinformation</w:t>
      </w:r>
      <w:r w:rsidR="002B4C4D">
        <w:rPr>
          <w:rFonts w:ascii="Crimson Pro" w:hAnsi="Crimson Pro" w:cstheme="minorHAnsi"/>
          <w:sz w:val="24"/>
          <w:szCs w:val="24"/>
        </w:rPr>
        <w:t xml:space="preserve"> in the country</w:t>
      </w:r>
      <w:r w:rsidR="009D10E5">
        <w:rPr>
          <w:rFonts w:ascii="Crimson Pro" w:hAnsi="Crimson Pro" w:cstheme="minorHAnsi"/>
          <w:sz w:val="24"/>
          <w:szCs w:val="24"/>
        </w:rPr>
        <w:t xml:space="preserve">. This context and background should </w:t>
      </w:r>
      <w:r w:rsidR="00D633AD">
        <w:rPr>
          <w:rFonts w:ascii="Crimson Pro" w:hAnsi="Crimson Pro" w:cstheme="minorHAnsi"/>
          <w:sz w:val="24"/>
          <w:szCs w:val="24"/>
        </w:rPr>
        <w:t xml:space="preserve">provide sufficient information to inform a robust </w:t>
      </w:r>
      <w:r w:rsidR="009D10E5">
        <w:rPr>
          <w:rFonts w:ascii="Crimson Pro" w:hAnsi="Crimson Pro" w:cstheme="minorHAnsi"/>
          <w:sz w:val="24"/>
          <w:szCs w:val="24"/>
        </w:rPr>
        <w:t>discussion</w:t>
      </w:r>
      <w:r w:rsidR="00D633AD">
        <w:rPr>
          <w:rFonts w:ascii="Crimson Pro" w:hAnsi="Crimson Pro" w:cstheme="minorHAnsi"/>
          <w:sz w:val="24"/>
          <w:szCs w:val="24"/>
        </w:rPr>
        <w:t xml:space="preserve"> and understanding</w:t>
      </w:r>
      <w:r w:rsidR="009D10E5">
        <w:rPr>
          <w:rFonts w:ascii="Crimson Pro" w:hAnsi="Crimson Pro" w:cstheme="minorHAnsi"/>
          <w:sz w:val="24"/>
          <w:szCs w:val="24"/>
        </w:rPr>
        <w:t xml:space="preserve"> </w:t>
      </w:r>
      <w:r w:rsidR="00D633AD">
        <w:rPr>
          <w:rFonts w:ascii="Crimson Pro" w:hAnsi="Crimson Pro" w:cstheme="minorHAnsi"/>
          <w:sz w:val="24"/>
          <w:szCs w:val="24"/>
        </w:rPr>
        <w:t>of</w:t>
      </w:r>
      <w:r w:rsidR="009D10E5">
        <w:rPr>
          <w:rFonts w:ascii="Crimson Pro" w:hAnsi="Crimson Pro" w:cstheme="minorHAnsi"/>
          <w:sz w:val="24"/>
          <w:szCs w:val="24"/>
        </w:rPr>
        <w:t xml:space="preserve"> </w:t>
      </w:r>
      <w:r w:rsidRPr="00F935CA">
        <w:rPr>
          <w:rFonts w:ascii="Crimson Pro" w:hAnsi="Crimson Pro" w:cstheme="minorHAnsi"/>
          <w:sz w:val="24"/>
          <w:szCs w:val="24"/>
        </w:rPr>
        <w:t>policy recommendation</w:t>
      </w:r>
      <w:r w:rsidR="00594B10">
        <w:rPr>
          <w:rFonts w:ascii="Crimson Pro" w:hAnsi="Crimson Pro" w:cstheme="minorHAnsi"/>
          <w:sz w:val="24"/>
          <w:szCs w:val="24"/>
        </w:rPr>
        <w:t xml:space="preserve">s, best practices, </w:t>
      </w:r>
      <w:r w:rsidR="005110D1">
        <w:rPr>
          <w:rFonts w:ascii="Crimson Pro" w:hAnsi="Crimson Pro" w:cstheme="minorHAnsi"/>
          <w:sz w:val="24"/>
          <w:szCs w:val="24"/>
        </w:rPr>
        <w:t>and</w:t>
      </w:r>
      <w:r w:rsidR="00594B10">
        <w:rPr>
          <w:rFonts w:ascii="Crimson Pro" w:hAnsi="Crimson Pro" w:cstheme="minorHAnsi"/>
          <w:sz w:val="24"/>
          <w:szCs w:val="24"/>
        </w:rPr>
        <w:t xml:space="preserve"> learnings from the country</w:t>
      </w:r>
      <w:r w:rsidR="005110D1">
        <w:rPr>
          <w:rFonts w:ascii="Crimson Pro" w:hAnsi="Crimson Pro" w:cstheme="minorHAnsi"/>
          <w:sz w:val="24"/>
          <w:szCs w:val="24"/>
        </w:rPr>
        <w:t xml:space="preserve"> going forward</w:t>
      </w:r>
      <w:r w:rsidRPr="00F935CA">
        <w:rPr>
          <w:rFonts w:ascii="Crimson Pro" w:hAnsi="Crimson Pro" w:cstheme="minorHAnsi"/>
          <w:sz w:val="24"/>
          <w:szCs w:val="24"/>
        </w:rPr>
        <w:t>.</w:t>
      </w:r>
    </w:p>
    <w:p w14:paraId="1029FE68" w14:textId="4BA64448" w:rsidR="00E1620D" w:rsidRDefault="000C4CB7" w:rsidP="00734146">
      <w:pPr>
        <w:rPr>
          <w:rFonts w:ascii="Crimson Pro" w:hAnsi="Crimson Pro" w:cstheme="minorHAnsi"/>
          <w:i/>
          <w:iCs/>
          <w:sz w:val="24"/>
          <w:szCs w:val="24"/>
        </w:rPr>
      </w:pPr>
      <w:r w:rsidRPr="00594B10">
        <w:rPr>
          <w:rFonts w:ascii="Crimson Pro" w:hAnsi="Crimson Pro" w:cstheme="minorHAnsi"/>
          <w:b/>
          <w:bCs/>
          <w:sz w:val="24"/>
          <w:szCs w:val="24"/>
        </w:rPr>
        <w:t>1</w:t>
      </w:r>
      <w:r w:rsidR="00594B10" w:rsidRPr="00594B10">
        <w:rPr>
          <w:rFonts w:ascii="Crimson Pro" w:hAnsi="Crimson Pro" w:cstheme="minorHAnsi"/>
          <w:b/>
          <w:bCs/>
          <w:sz w:val="24"/>
          <w:szCs w:val="24"/>
        </w:rPr>
        <w:t>.</w:t>
      </w:r>
      <w:r w:rsidRPr="00594B10">
        <w:rPr>
          <w:rFonts w:ascii="Crimson Pro" w:hAnsi="Crimson Pro" w:cstheme="minorHAnsi"/>
          <w:b/>
          <w:bCs/>
          <w:sz w:val="24"/>
          <w:szCs w:val="24"/>
        </w:rPr>
        <w:t xml:space="preserve"> </w:t>
      </w:r>
      <w:r w:rsidR="00D33BD2">
        <w:rPr>
          <w:rFonts w:ascii="Crimson Pro" w:hAnsi="Crimson Pro" w:cstheme="minorHAnsi"/>
          <w:b/>
          <w:bCs/>
          <w:sz w:val="24"/>
          <w:szCs w:val="24"/>
        </w:rPr>
        <w:t>C</w:t>
      </w:r>
      <w:r w:rsidR="00622AF2" w:rsidRPr="00622AF2">
        <w:rPr>
          <w:rFonts w:ascii="Crimson Pro" w:hAnsi="Crimson Pro" w:cstheme="minorHAnsi"/>
          <w:b/>
          <w:bCs/>
          <w:sz w:val="24"/>
          <w:szCs w:val="24"/>
        </w:rPr>
        <w:t>ontext</w:t>
      </w:r>
      <w:r w:rsidR="00493262">
        <w:rPr>
          <w:rFonts w:ascii="Crimson Pro" w:hAnsi="Crimson Pro" w:cstheme="minorHAnsi"/>
          <w:b/>
          <w:bCs/>
          <w:sz w:val="24"/>
          <w:szCs w:val="24"/>
        </w:rPr>
        <w:t xml:space="preserve"> of</w:t>
      </w:r>
      <w:r w:rsidR="00622AF2" w:rsidRPr="00622AF2">
        <w:rPr>
          <w:rFonts w:ascii="Crimson Pro" w:hAnsi="Crimson Pro" w:cstheme="minorHAnsi"/>
          <w:b/>
          <w:bCs/>
          <w:sz w:val="24"/>
          <w:szCs w:val="24"/>
        </w:rPr>
        <w:t xml:space="preserve"> </w:t>
      </w:r>
      <w:r w:rsidR="00D33BD2">
        <w:rPr>
          <w:rFonts w:ascii="Crimson Pro" w:hAnsi="Crimson Pro" w:cstheme="minorHAnsi"/>
          <w:b/>
          <w:bCs/>
          <w:sz w:val="24"/>
          <w:szCs w:val="24"/>
        </w:rPr>
        <w:t xml:space="preserve">public health and </w:t>
      </w:r>
      <w:r w:rsidR="00493262">
        <w:rPr>
          <w:rFonts w:ascii="Crimson Pro" w:hAnsi="Crimson Pro" w:cstheme="minorHAnsi"/>
          <w:b/>
          <w:bCs/>
          <w:sz w:val="24"/>
          <w:szCs w:val="24"/>
        </w:rPr>
        <w:t>v</w:t>
      </w:r>
      <w:r w:rsidR="00622AF2">
        <w:rPr>
          <w:rFonts w:ascii="Crimson Pro" w:hAnsi="Crimson Pro" w:cstheme="minorHAnsi"/>
          <w:b/>
          <w:bCs/>
          <w:sz w:val="24"/>
          <w:szCs w:val="24"/>
        </w:rPr>
        <w:t xml:space="preserve">accine </w:t>
      </w:r>
      <w:r w:rsidR="004C139A">
        <w:rPr>
          <w:rFonts w:ascii="Crimson Pro" w:hAnsi="Crimson Pro" w:cstheme="minorHAnsi"/>
          <w:b/>
          <w:bCs/>
          <w:sz w:val="24"/>
          <w:szCs w:val="24"/>
        </w:rPr>
        <w:t>hesitancy</w:t>
      </w:r>
    </w:p>
    <w:p w14:paraId="60EC614F" w14:textId="73052950" w:rsidR="00E1620D" w:rsidRPr="00F935CA" w:rsidRDefault="00D50E26" w:rsidP="00734146">
      <w:pPr>
        <w:rPr>
          <w:rFonts w:ascii="Crimson Pro" w:hAnsi="Crimson Pro" w:cstheme="minorHAnsi"/>
          <w:sz w:val="24"/>
          <w:szCs w:val="24"/>
        </w:rPr>
      </w:pPr>
      <w:r>
        <w:rPr>
          <w:rFonts w:ascii="Crimson Pro" w:hAnsi="Crimson Pro" w:cstheme="minorHAnsi"/>
          <w:sz w:val="24"/>
          <w:szCs w:val="24"/>
        </w:rPr>
        <w:t xml:space="preserve">How and when did the country’s public health system develop? </w:t>
      </w:r>
      <w:r w:rsidR="003809B5">
        <w:rPr>
          <w:rFonts w:ascii="Crimson Pro" w:hAnsi="Crimson Pro" w:cstheme="minorHAnsi"/>
          <w:sz w:val="24"/>
          <w:szCs w:val="24"/>
        </w:rPr>
        <w:t xml:space="preserve">How </w:t>
      </w:r>
      <w:r w:rsidR="001F069A">
        <w:rPr>
          <w:rFonts w:ascii="Crimson Pro" w:hAnsi="Crimson Pro" w:cstheme="minorHAnsi"/>
          <w:sz w:val="24"/>
          <w:szCs w:val="24"/>
        </w:rPr>
        <w:t>are</w:t>
      </w:r>
      <w:r w:rsidR="003809B5">
        <w:rPr>
          <w:rFonts w:ascii="Crimson Pro" w:hAnsi="Crimson Pro" w:cstheme="minorHAnsi"/>
          <w:sz w:val="24"/>
          <w:szCs w:val="24"/>
        </w:rPr>
        <w:t xml:space="preserve"> community </w:t>
      </w:r>
      <w:r w:rsidR="001F069A">
        <w:rPr>
          <w:rFonts w:ascii="Crimson Pro" w:hAnsi="Crimson Pro" w:cstheme="minorHAnsi"/>
          <w:sz w:val="24"/>
          <w:szCs w:val="24"/>
        </w:rPr>
        <w:t xml:space="preserve">and primary </w:t>
      </w:r>
      <w:r w:rsidR="003809B5">
        <w:rPr>
          <w:rFonts w:ascii="Crimson Pro" w:hAnsi="Crimson Pro" w:cstheme="minorHAnsi"/>
          <w:sz w:val="24"/>
          <w:szCs w:val="24"/>
        </w:rPr>
        <w:t xml:space="preserve">health delivered in the country? </w:t>
      </w:r>
      <w:r w:rsidR="001F069A">
        <w:rPr>
          <w:rFonts w:ascii="Crimson Pro" w:hAnsi="Crimson Pro" w:cstheme="minorHAnsi"/>
          <w:sz w:val="24"/>
          <w:szCs w:val="24"/>
        </w:rPr>
        <w:t xml:space="preserve">Are health services widely accessible and affordable? </w:t>
      </w:r>
      <w:r w:rsidR="001F0795">
        <w:rPr>
          <w:rFonts w:ascii="Crimson Pro" w:hAnsi="Crimson Pro" w:cstheme="minorHAnsi"/>
          <w:sz w:val="24"/>
          <w:szCs w:val="24"/>
        </w:rPr>
        <w:t xml:space="preserve">Is a universal health coverage system in place or being developed? </w:t>
      </w:r>
      <w:r w:rsidR="003809B5">
        <w:rPr>
          <w:rFonts w:ascii="Crimson Pro" w:hAnsi="Crimson Pro" w:cstheme="minorHAnsi"/>
          <w:sz w:val="24"/>
          <w:szCs w:val="24"/>
        </w:rPr>
        <w:t xml:space="preserve">How do cultural factors such as family structure, religion, and social values affect health-seeking behavior? </w:t>
      </w:r>
      <w:r w:rsidR="00C13FFE">
        <w:rPr>
          <w:rFonts w:ascii="Crimson Pro" w:hAnsi="Crimson Pro" w:cstheme="minorHAnsi"/>
          <w:sz w:val="24"/>
          <w:szCs w:val="24"/>
        </w:rPr>
        <w:t xml:space="preserve">How </w:t>
      </w:r>
      <w:r w:rsidR="00D33BD2">
        <w:rPr>
          <w:rFonts w:ascii="Crimson Pro" w:hAnsi="Crimson Pro" w:cstheme="minorHAnsi"/>
          <w:sz w:val="24"/>
          <w:szCs w:val="24"/>
        </w:rPr>
        <w:t xml:space="preserve">do </w:t>
      </w:r>
      <w:r w:rsidR="003809B5">
        <w:rPr>
          <w:rFonts w:ascii="Crimson Pro" w:hAnsi="Crimson Pro" w:cstheme="minorHAnsi"/>
          <w:sz w:val="24"/>
          <w:szCs w:val="24"/>
        </w:rPr>
        <w:t xml:space="preserve">traditional </w:t>
      </w:r>
      <w:r w:rsidR="00D33BD2">
        <w:rPr>
          <w:rFonts w:ascii="Crimson Pro" w:hAnsi="Crimson Pro" w:cstheme="minorHAnsi"/>
          <w:sz w:val="24"/>
          <w:szCs w:val="24"/>
        </w:rPr>
        <w:t xml:space="preserve">health and medical philosophies </w:t>
      </w:r>
      <w:r w:rsidR="00C13FFE">
        <w:rPr>
          <w:rFonts w:ascii="Crimson Pro" w:hAnsi="Crimson Pro" w:cstheme="minorHAnsi"/>
          <w:sz w:val="24"/>
          <w:szCs w:val="24"/>
        </w:rPr>
        <w:t>interact with Western medicine in the country</w:t>
      </w:r>
      <w:r w:rsidR="003809B5">
        <w:rPr>
          <w:rFonts w:ascii="Crimson Pro" w:hAnsi="Crimson Pro" w:cstheme="minorHAnsi"/>
          <w:sz w:val="24"/>
          <w:szCs w:val="24"/>
        </w:rPr>
        <w:t xml:space="preserve">? What role does the government have in </w:t>
      </w:r>
      <w:r w:rsidR="0095507E">
        <w:rPr>
          <w:rFonts w:ascii="Crimson Pro" w:hAnsi="Crimson Pro" w:cstheme="minorHAnsi"/>
          <w:sz w:val="24"/>
          <w:szCs w:val="24"/>
        </w:rPr>
        <w:t xml:space="preserve">promoting public health? Which authorities do the public trust the </w:t>
      </w:r>
      <w:r w:rsidR="00C13FFE">
        <w:rPr>
          <w:rFonts w:ascii="Crimson Pro" w:hAnsi="Crimson Pro" w:cstheme="minorHAnsi"/>
          <w:sz w:val="24"/>
          <w:szCs w:val="24"/>
        </w:rPr>
        <w:t xml:space="preserve">most with their health? </w:t>
      </w:r>
      <w:r w:rsidR="00152DDE">
        <w:rPr>
          <w:rFonts w:ascii="Crimson Pro" w:hAnsi="Crimson Pro" w:cstheme="minorHAnsi"/>
          <w:sz w:val="24"/>
          <w:szCs w:val="24"/>
        </w:rPr>
        <w:t xml:space="preserve">Do global or regional geopolitics affect health policy? </w:t>
      </w:r>
      <w:r w:rsidR="003809B5">
        <w:rPr>
          <w:rFonts w:ascii="Crimson Pro" w:hAnsi="Crimson Pro" w:cstheme="minorHAnsi"/>
          <w:sz w:val="24"/>
          <w:szCs w:val="24"/>
        </w:rPr>
        <w:t xml:space="preserve">How and when were vaccines introduced in the country? </w:t>
      </w:r>
      <w:r w:rsidR="00734146" w:rsidRPr="00594B10">
        <w:rPr>
          <w:rFonts w:ascii="Crimson Pro" w:hAnsi="Crimson Pro" w:cstheme="minorHAnsi"/>
          <w:sz w:val="24"/>
          <w:szCs w:val="24"/>
        </w:rPr>
        <w:t>Does the count</w:t>
      </w:r>
      <w:r w:rsidR="00F10450">
        <w:rPr>
          <w:rFonts w:ascii="Crimson Pro" w:hAnsi="Crimson Pro" w:cstheme="minorHAnsi"/>
          <w:sz w:val="24"/>
          <w:szCs w:val="24"/>
        </w:rPr>
        <w:t>r</w:t>
      </w:r>
      <w:r w:rsidR="00734146" w:rsidRPr="00594B10">
        <w:rPr>
          <w:rFonts w:ascii="Crimson Pro" w:hAnsi="Crimson Pro" w:cstheme="minorHAnsi"/>
          <w:sz w:val="24"/>
          <w:szCs w:val="24"/>
        </w:rPr>
        <w:t xml:space="preserve">y have a history of vaccine hesitancy? </w:t>
      </w:r>
      <w:r w:rsidR="004C139A">
        <w:rPr>
          <w:rFonts w:ascii="Crimson Pro" w:hAnsi="Crimson Pro" w:cstheme="minorHAnsi"/>
          <w:sz w:val="24"/>
          <w:szCs w:val="24"/>
        </w:rPr>
        <w:t xml:space="preserve">What </w:t>
      </w:r>
      <w:r w:rsidR="00E1620D">
        <w:rPr>
          <w:rFonts w:ascii="Crimson Pro" w:hAnsi="Crimson Pro" w:cstheme="minorHAnsi"/>
          <w:sz w:val="24"/>
          <w:szCs w:val="24"/>
        </w:rPr>
        <w:t xml:space="preserve">cultural, </w:t>
      </w:r>
      <w:r w:rsidR="00594B10">
        <w:rPr>
          <w:rFonts w:ascii="Crimson Pro" w:hAnsi="Crimson Pro" w:cstheme="minorHAnsi"/>
          <w:sz w:val="24"/>
          <w:szCs w:val="24"/>
        </w:rPr>
        <w:t>demographic</w:t>
      </w:r>
      <w:r w:rsidR="00E1620D">
        <w:rPr>
          <w:rFonts w:ascii="Crimson Pro" w:hAnsi="Crimson Pro" w:cstheme="minorHAnsi"/>
          <w:sz w:val="24"/>
          <w:szCs w:val="24"/>
        </w:rPr>
        <w:t>, psychological, or economic factors</w:t>
      </w:r>
      <w:r w:rsidR="004C139A">
        <w:rPr>
          <w:rFonts w:ascii="Crimson Pro" w:hAnsi="Crimson Pro" w:cstheme="minorHAnsi"/>
          <w:sz w:val="24"/>
          <w:szCs w:val="24"/>
        </w:rPr>
        <w:t xml:space="preserve"> affect vaccine hesitancy</w:t>
      </w:r>
      <w:r w:rsidR="00734146" w:rsidRPr="00F935CA">
        <w:rPr>
          <w:rFonts w:ascii="Crimson Pro" w:hAnsi="Crimson Pro" w:cstheme="minorHAnsi"/>
          <w:sz w:val="24"/>
          <w:szCs w:val="24"/>
        </w:rPr>
        <w:t xml:space="preserve">? </w:t>
      </w:r>
      <w:r w:rsidR="00C13FFE">
        <w:rPr>
          <w:rFonts w:ascii="Crimson Pro" w:hAnsi="Crimson Pro" w:cstheme="minorHAnsi"/>
          <w:sz w:val="24"/>
          <w:szCs w:val="24"/>
        </w:rPr>
        <w:t xml:space="preserve">Have </w:t>
      </w:r>
      <w:r w:rsidR="00734146" w:rsidRPr="00594B10">
        <w:rPr>
          <w:rFonts w:ascii="Crimson Pro" w:hAnsi="Crimson Pro" w:cstheme="minorHAnsi"/>
          <w:sz w:val="24"/>
          <w:szCs w:val="24"/>
        </w:rPr>
        <w:t>public perception</w:t>
      </w:r>
      <w:r w:rsidR="00282E97" w:rsidRPr="00594B10">
        <w:rPr>
          <w:rFonts w:ascii="Crimson Pro" w:hAnsi="Crimson Pro" w:cstheme="minorHAnsi"/>
          <w:sz w:val="24"/>
          <w:szCs w:val="24"/>
        </w:rPr>
        <w:t xml:space="preserve">s </w:t>
      </w:r>
      <w:r w:rsidR="00734146" w:rsidRPr="00594B10">
        <w:rPr>
          <w:rFonts w:ascii="Crimson Pro" w:hAnsi="Crimson Pro" w:cstheme="minorHAnsi"/>
          <w:sz w:val="24"/>
          <w:szCs w:val="24"/>
        </w:rPr>
        <w:t>of vaccine</w:t>
      </w:r>
      <w:r w:rsidR="00C13FFE">
        <w:rPr>
          <w:rFonts w:ascii="Crimson Pro" w:hAnsi="Crimson Pro" w:cstheme="minorHAnsi"/>
          <w:sz w:val="24"/>
          <w:szCs w:val="24"/>
        </w:rPr>
        <w:t>s</w:t>
      </w:r>
      <w:r w:rsidR="00734146" w:rsidRPr="00594B10">
        <w:rPr>
          <w:rFonts w:ascii="Crimson Pro" w:hAnsi="Crimson Pro" w:cstheme="minorHAnsi"/>
          <w:sz w:val="24"/>
          <w:szCs w:val="24"/>
        </w:rPr>
        <w:t xml:space="preserve"> change</w:t>
      </w:r>
      <w:r w:rsidR="00D33BD2">
        <w:rPr>
          <w:rFonts w:ascii="Crimson Pro" w:hAnsi="Crimson Pro" w:cstheme="minorHAnsi"/>
          <w:sz w:val="24"/>
          <w:szCs w:val="24"/>
        </w:rPr>
        <w:t>d</w:t>
      </w:r>
      <w:r w:rsidR="00734146" w:rsidRPr="00594B10">
        <w:rPr>
          <w:rFonts w:ascii="Crimson Pro" w:hAnsi="Crimson Pro" w:cstheme="minorHAnsi"/>
          <w:sz w:val="24"/>
          <w:szCs w:val="24"/>
        </w:rPr>
        <w:t xml:space="preserve"> over the course of the COVID-19 pandemic?</w:t>
      </w:r>
      <w:r w:rsidR="0029667D">
        <w:rPr>
          <w:rFonts w:ascii="Crimson Pro" w:hAnsi="Crimson Pro" w:cstheme="minorHAnsi"/>
          <w:sz w:val="24"/>
          <w:szCs w:val="24"/>
        </w:rPr>
        <w:t xml:space="preserve"> </w:t>
      </w:r>
    </w:p>
    <w:p w14:paraId="12D7ACBC" w14:textId="33A55105" w:rsidR="00734146" w:rsidRPr="00F935CA" w:rsidRDefault="00622AF2" w:rsidP="00734146">
      <w:pPr>
        <w:rPr>
          <w:rFonts w:ascii="Crimson Pro" w:hAnsi="Crimson Pro" w:cstheme="minorHAnsi"/>
          <w:b/>
          <w:bCs/>
          <w:sz w:val="24"/>
          <w:szCs w:val="24"/>
        </w:rPr>
      </w:pPr>
      <w:r>
        <w:rPr>
          <w:rFonts w:ascii="Crimson Pro" w:hAnsi="Crimson Pro" w:cstheme="minorHAnsi"/>
          <w:b/>
          <w:bCs/>
          <w:sz w:val="24"/>
          <w:szCs w:val="24"/>
        </w:rPr>
        <w:t>2</w:t>
      </w:r>
      <w:r w:rsidR="00734146" w:rsidRPr="00F935CA">
        <w:rPr>
          <w:rFonts w:ascii="Crimson Pro" w:hAnsi="Crimson Pro" w:cstheme="minorHAnsi"/>
          <w:b/>
          <w:bCs/>
          <w:sz w:val="24"/>
          <w:szCs w:val="24"/>
        </w:rPr>
        <w:t xml:space="preserve">: </w:t>
      </w:r>
      <w:r w:rsidR="00B346FF">
        <w:rPr>
          <w:rFonts w:ascii="Crimson Pro" w:hAnsi="Crimson Pro" w:cstheme="minorHAnsi"/>
          <w:b/>
          <w:bCs/>
          <w:sz w:val="24"/>
          <w:szCs w:val="24"/>
        </w:rPr>
        <w:t>M</w:t>
      </w:r>
      <w:r w:rsidR="00734146" w:rsidRPr="00F935CA">
        <w:rPr>
          <w:rFonts w:ascii="Crimson Pro" w:hAnsi="Crimson Pro" w:cstheme="minorHAnsi"/>
          <w:b/>
          <w:bCs/>
          <w:sz w:val="24"/>
          <w:szCs w:val="24"/>
        </w:rPr>
        <w:t>isinformation</w:t>
      </w:r>
      <w:r w:rsidR="00493262">
        <w:rPr>
          <w:rFonts w:ascii="Crimson Pro" w:hAnsi="Crimson Pro" w:cstheme="minorHAnsi"/>
          <w:b/>
          <w:bCs/>
          <w:sz w:val="24"/>
          <w:szCs w:val="24"/>
        </w:rPr>
        <w:t>,</w:t>
      </w:r>
      <w:r w:rsidR="00D633AD">
        <w:rPr>
          <w:rFonts w:ascii="Crimson Pro" w:hAnsi="Crimson Pro" w:cstheme="minorHAnsi"/>
          <w:b/>
          <w:bCs/>
          <w:sz w:val="24"/>
          <w:szCs w:val="24"/>
        </w:rPr>
        <w:t xml:space="preserve"> </w:t>
      </w:r>
      <w:r w:rsidR="00734146" w:rsidRPr="00F935CA">
        <w:rPr>
          <w:rFonts w:ascii="Crimson Pro" w:hAnsi="Crimson Pro" w:cstheme="minorHAnsi"/>
          <w:b/>
          <w:bCs/>
          <w:sz w:val="24"/>
          <w:szCs w:val="24"/>
        </w:rPr>
        <w:t>disinformation</w:t>
      </w:r>
      <w:r w:rsidR="00493262">
        <w:rPr>
          <w:rFonts w:ascii="Crimson Pro" w:hAnsi="Crimson Pro" w:cstheme="minorHAnsi"/>
          <w:b/>
          <w:bCs/>
          <w:sz w:val="24"/>
          <w:szCs w:val="24"/>
        </w:rPr>
        <w:t>, and the media environment</w:t>
      </w:r>
      <w:r w:rsidR="00D633AD">
        <w:rPr>
          <w:rFonts w:ascii="Crimson Pro" w:hAnsi="Crimson Pro" w:cstheme="minorHAnsi"/>
          <w:b/>
          <w:bCs/>
          <w:sz w:val="24"/>
          <w:szCs w:val="24"/>
        </w:rPr>
        <w:t xml:space="preserve"> in</w:t>
      </w:r>
      <w:r w:rsidR="00734146" w:rsidRPr="00F935CA">
        <w:rPr>
          <w:rFonts w:ascii="Crimson Pro" w:hAnsi="Crimson Pro" w:cstheme="minorHAnsi"/>
          <w:b/>
          <w:bCs/>
          <w:sz w:val="24"/>
          <w:szCs w:val="24"/>
        </w:rPr>
        <w:t xml:space="preserve"> vaccine hesitancy</w:t>
      </w:r>
    </w:p>
    <w:p w14:paraId="3A703A77" w14:textId="7EE01A2E" w:rsidR="00622AF2" w:rsidRDefault="00F2266D" w:rsidP="00622AF2">
      <w:pPr>
        <w:widowControl w:val="0"/>
        <w:spacing w:line="240" w:lineRule="auto"/>
        <w:rPr>
          <w:rFonts w:ascii="Crimson Pro" w:hAnsi="Crimson Pro" w:cstheme="minorHAnsi"/>
          <w:sz w:val="24"/>
          <w:szCs w:val="24"/>
        </w:rPr>
      </w:pPr>
      <w:r w:rsidRPr="00F2266D">
        <w:rPr>
          <w:rFonts w:ascii="Crimson Pro" w:hAnsi="Crimson Pro" w:cstheme="minorHAnsi"/>
          <w:sz w:val="24"/>
          <w:szCs w:val="24"/>
        </w:rPr>
        <w:t xml:space="preserve">Through which channels or on which platforms do people access health information? How do legal or regulatory frameworks govern health information in the media? How does the government use traditional and/or new media to communicate </w:t>
      </w:r>
      <w:r w:rsidR="001F069A">
        <w:rPr>
          <w:rFonts w:ascii="Crimson Pro" w:hAnsi="Crimson Pro" w:cstheme="minorHAnsi"/>
          <w:sz w:val="24"/>
          <w:szCs w:val="24"/>
        </w:rPr>
        <w:t xml:space="preserve">health </w:t>
      </w:r>
      <w:r w:rsidRPr="00F2266D">
        <w:rPr>
          <w:rFonts w:ascii="Crimson Pro" w:hAnsi="Crimson Pro" w:cstheme="minorHAnsi"/>
          <w:sz w:val="24"/>
          <w:szCs w:val="24"/>
        </w:rPr>
        <w:t>policies?</w:t>
      </w:r>
      <w:r>
        <w:rPr>
          <w:rFonts w:ascii="Crimson Pro" w:hAnsi="Crimson Pro" w:cstheme="minorHAnsi"/>
          <w:sz w:val="24"/>
          <w:szCs w:val="24"/>
        </w:rPr>
        <w:t xml:space="preserve"> </w:t>
      </w:r>
      <w:r w:rsidR="001F069A">
        <w:rPr>
          <w:rFonts w:ascii="Crimson Pro" w:hAnsi="Crimson Pro" w:cstheme="minorHAnsi"/>
          <w:sz w:val="24"/>
          <w:szCs w:val="24"/>
        </w:rPr>
        <w:t>On w</w:t>
      </w:r>
      <w:r w:rsidR="00734146" w:rsidRPr="00622AF2">
        <w:rPr>
          <w:rFonts w:ascii="Crimson Pro" w:hAnsi="Crimson Pro" w:cstheme="minorHAnsi"/>
          <w:sz w:val="24"/>
          <w:szCs w:val="24"/>
        </w:rPr>
        <w:t xml:space="preserve">hat platforms </w:t>
      </w:r>
      <w:r w:rsidR="001F069A">
        <w:rPr>
          <w:rFonts w:ascii="Crimson Pro" w:hAnsi="Crimson Pro" w:cstheme="minorHAnsi"/>
          <w:sz w:val="24"/>
          <w:szCs w:val="24"/>
        </w:rPr>
        <w:t xml:space="preserve">do </w:t>
      </w:r>
      <w:r>
        <w:rPr>
          <w:rFonts w:ascii="Crimson Pro" w:hAnsi="Crimson Pro" w:cstheme="minorHAnsi"/>
          <w:sz w:val="24"/>
          <w:szCs w:val="24"/>
        </w:rPr>
        <w:t xml:space="preserve">health </w:t>
      </w:r>
      <w:r w:rsidR="00734146" w:rsidRPr="00622AF2">
        <w:rPr>
          <w:rFonts w:ascii="Crimson Pro" w:hAnsi="Crimson Pro" w:cstheme="minorHAnsi"/>
          <w:sz w:val="24"/>
          <w:szCs w:val="24"/>
        </w:rPr>
        <w:t>dis/misinformation</w:t>
      </w:r>
      <w:r w:rsidR="001F069A">
        <w:rPr>
          <w:rFonts w:ascii="Crimson Pro" w:hAnsi="Crimson Pro" w:cstheme="minorHAnsi"/>
          <w:sz w:val="24"/>
          <w:szCs w:val="24"/>
        </w:rPr>
        <w:t xml:space="preserve"> spread</w:t>
      </w:r>
      <w:r w:rsidR="00734146" w:rsidRPr="00622AF2">
        <w:rPr>
          <w:rFonts w:ascii="Crimson Pro" w:hAnsi="Crimson Pro" w:cstheme="minorHAnsi"/>
          <w:sz w:val="24"/>
          <w:szCs w:val="24"/>
        </w:rPr>
        <w:t xml:space="preserve">? </w:t>
      </w:r>
      <w:r w:rsidR="00C97D06" w:rsidRPr="00622AF2">
        <w:rPr>
          <w:rFonts w:ascii="Crimson Pro" w:hAnsi="Crimson Pro" w:cstheme="minorHAnsi"/>
          <w:sz w:val="24"/>
          <w:szCs w:val="24"/>
        </w:rPr>
        <w:t xml:space="preserve">Is </w:t>
      </w:r>
      <w:r w:rsidR="00D33BD2">
        <w:rPr>
          <w:rFonts w:ascii="Crimson Pro" w:hAnsi="Crimson Pro" w:cstheme="minorHAnsi"/>
          <w:sz w:val="24"/>
          <w:szCs w:val="24"/>
        </w:rPr>
        <w:t>t</w:t>
      </w:r>
      <w:r w:rsidR="00C97D06" w:rsidRPr="00622AF2">
        <w:rPr>
          <w:rFonts w:ascii="Crimson Pro" w:hAnsi="Crimson Pro" w:cstheme="minorHAnsi"/>
          <w:sz w:val="24"/>
          <w:szCs w:val="24"/>
        </w:rPr>
        <w:t>here an understanding of w</w:t>
      </w:r>
      <w:r w:rsidR="00734146" w:rsidRPr="00622AF2">
        <w:rPr>
          <w:rFonts w:ascii="Crimson Pro" w:hAnsi="Crimson Pro" w:cstheme="minorHAnsi"/>
          <w:sz w:val="24"/>
          <w:szCs w:val="24"/>
        </w:rPr>
        <w:t xml:space="preserve">ho the major actors behind </w:t>
      </w:r>
      <w:r w:rsidR="00D33BD2">
        <w:rPr>
          <w:rFonts w:ascii="Crimson Pro" w:hAnsi="Crimson Pro" w:cstheme="minorHAnsi"/>
          <w:sz w:val="24"/>
          <w:szCs w:val="24"/>
        </w:rPr>
        <w:t xml:space="preserve">health </w:t>
      </w:r>
      <w:r w:rsidR="00734146" w:rsidRPr="00622AF2">
        <w:rPr>
          <w:rFonts w:ascii="Crimson Pro" w:hAnsi="Crimson Pro" w:cstheme="minorHAnsi"/>
          <w:sz w:val="24"/>
          <w:szCs w:val="24"/>
        </w:rPr>
        <w:t>disinformation</w:t>
      </w:r>
      <w:r w:rsidR="00C97D06" w:rsidRPr="00622AF2">
        <w:rPr>
          <w:rFonts w:ascii="Crimson Pro" w:hAnsi="Crimson Pro" w:cstheme="minorHAnsi"/>
          <w:sz w:val="24"/>
          <w:szCs w:val="24"/>
        </w:rPr>
        <w:t xml:space="preserve"> are</w:t>
      </w:r>
      <w:r>
        <w:rPr>
          <w:rFonts w:ascii="Crimson Pro" w:hAnsi="Crimson Pro" w:cstheme="minorHAnsi"/>
          <w:sz w:val="24"/>
          <w:szCs w:val="24"/>
        </w:rPr>
        <w:t xml:space="preserve"> and what motivates them</w:t>
      </w:r>
      <w:r w:rsidR="00734146" w:rsidRPr="00622AF2">
        <w:rPr>
          <w:rFonts w:ascii="Crimson Pro" w:hAnsi="Crimson Pro" w:cstheme="minorHAnsi"/>
          <w:sz w:val="24"/>
          <w:szCs w:val="24"/>
        </w:rPr>
        <w:t xml:space="preserve">? </w:t>
      </w:r>
      <w:r w:rsidR="001F069A">
        <w:rPr>
          <w:rFonts w:ascii="Crimson Pro" w:hAnsi="Crimson Pro" w:cstheme="minorHAnsi"/>
          <w:sz w:val="24"/>
          <w:szCs w:val="24"/>
        </w:rPr>
        <w:t xml:space="preserve">Which </w:t>
      </w:r>
      <w:r w:rsidR="00D33BD2">
        <w:rPr>
          <w:rFonts w:ascii="Crimson Pro" w:hAnsi="Crimson Pro" w:cstheme="minorHAnsi"/>
          <w:sz w:val="24"/>
          <w:szCs w:val="24"/>
        </w:rPr>
        <w:t>leaders</w:t>
      </w:r>
      <w:r w:rsidR="001F069A">
        <w:rPr>
          <w:rFonts w:ascii="Crimson Pro" w:hAnsi="Crimson Pro" w:cstheme="minorHAnsi"/>
          <w:sz w:val="24"/>
          <w:szCs w:val="24"/>
        </w:rPr>
        <w:t xml:space="preserve"> in society are the most trusted to deliver health information? </w:t>
      </w:r>
      <w:r w:rsidRPr="00F2266D">
        <w:rPr>
          <w:rFonts w:ascii="Crimson Pro" w:hAnsi="Crimson Pro" w:cstheme="minorHAnsi"/>
          <w:sz w:val="24"/>
          <w:szCs w:val="24"/>
        </w:rPr>
        <w:t xml:space="preserve">What types of dis/misinformation fuel vaccine hesitancy (e.g., medical, scientific, political, religious, technological)? </w:t>
      </w:r>
      <w:r w:rsidR="005110D1">
        <w:rPr>
          <w:rFonts w:ascii="Crimson Pro" w:hAnsi="Crimson Pro" w:cstheme="minorHAnsi"/>
          <w:sz w:val="24"/>
          <w:szCs w:val="24"/>
        </w:rPr>
        <w:t xml:space="preserve">Which myths about vaccines </w:t>
      </w:r>
      <w:r w:rsidR="00780B27">
        <w:rPr>
          <w:rFonts w:ascii="Crimson Pro" w:hAnsi="Crimson Pro" w:cstheme="minorHAnsi"/>
          <w:sz w:val="24"/>
          <w:szCs w:val="24"/>
        </w:rPr>
        <w:t>have been</w:t>
      </w:r>
      <w:r w:rsidR="005110D1">
        <w:rPr>
          <w:rFonts w:ascii="Crimson Pro" w:hAnsi="Crimson Pro" w:cstheme="minorHAnsi"/>
          <w:sz w:val="24"/>
          <w:szCs w:val="24"/>
        </w:rPr>
        <w:t xml:space="preserve"> the most pervasive or the most difficult for public health authorities to dispel? </w:t>
      </w:r>
    </w:p>
    <w:p w14:paraId="426801CE" w14:textId="45B9FE3E" w:rsidR="00734146" w:rsidRPr="00622AF2" w:rsidRDefault="00622AF2" w:rsidP="00622AF2">
      <w:pPr>
        <w:widowControl w:val="0"/>
        <w:spacing w:line="240" w:lineRule="auto"/>
        <w:rPr>
          <w:rFonts w:ascii="Crimson Pro" w:hAnsi="Crimson Pro" w:cstheme="minorHAnsi"/>
          <w:sz w:val="24"/>
          <w:szCs w:val="24"/>
        </w:rPr>
      </w:pPr>
      <w:r>
        <w:rPr>
          <w:rFonts w:ascii="Crimson Pro" w:hAnsi="Crimson Pro" w:cstheme="minorHAnsi"/>
          <w:b/>
          <w:bCs/>
          <w:sz w:val="24"/>
          <w:szCs w:val="24"/>
        </w:rPr>
        <w:t>3</w:t>
      </w:r>
      <w:r w:rsidR="00734146" w:rsidRPr="00F935CA">
        <w:rPr>
          <w:rFonts w:ascii="Crimson Pro" w:hAnsi="Crimson Pro" w:cstheme="minorHAnsi"/>
          <w:b/>
          <w:bCs/>
          <w:sz w:val="24"/>
          <w:szCs w:val="24"/>
        </w:rPr>
        <w:t>: Government vaccine communication</w:t>
      </w:r>
      <w:r w:rsidR="00493262">
        <w:rPr>
          <w:rFonts w:ascii="Crimson Pro" w:hAnsi="Crimson Pro" w:cstheme="minorHAnsi"/>
          <w:b/>
          <w:bCs/>
          <w:sz w:val="24"/>
          <w:szCs w:val="24"/>
        </w:rPr>
        <w:t xml:space="preserve"> during the COVID-19 pandemic</w:t>
      </w:r>
    </w:p>
    <w:p w14:paraId="2FB6AA20" w14:textId="3893A774" w:rsidR="00734146" w:rsidRPr="00F935CA" w:rsidRDefault="004C139A" w:rsidP="00514B3E">
      <w:pPr>
        <w:widowControl w:val="0"/>
        <w:spacing w:line="240" w:lineRule="auto"/>
        <w:rPr>
          <w:rFonts w:ascii="Crimson Pro" w:hAnsi="Crimson Pro" w:cstheme="minorHAnsi"/>
          <w:sz w:val="24"/>
          <w:szCs w:val="24"/>
        </w:rPr>
      </w:pPr>
      <w:r>
        <w:rPr>
          <w:rFonts w:ascii="Crimson Pro" w:hAnsi="Crimson Pro" w:cstheme="minorHAnsi"/>
          <w:sz w:val="24"/>
          <w:szCs w:val="24"/>
        </w:rPr>
        <w:t xml:space="preserve">What policies or practices have </w:t>
      </w:r>
      <w:r w:rsidR="00EE31F2">
        <w:rPr>
          <w:rFonts w:ascii="Crimson Pro" w:hAnsi="Crimson Pro" w:cstheme="minorHAnsi"/>
          <w:sz w:val="24"/>
          <w:szCs w:val="24"/>
        </w:rPr>
        <w:t xml:space="preserve">the </w:t>
      </w:r>
      <w:r>
        <w:rPr>
          <w:rFonts w:ascii="Crimson Pro" w:hAnsi="Crimson Pro" w:cstheme="minorHAnsi"/>
          <w:sz w:val="24"/>
          <w:szCs w:val="24"/>
        </w:rPr>
        <w:t>government used to address vaccine mis/disinformation</w:t>
      </w:r>
      <w:r w:rsidR="00514B3E">
        <w:rPr>
          <w:rFonts w:ascii="Crimson Pro" w:hAnsi="Crimson Pro" w:cstheme="minorHAnsi"/>
          <w:sz w:val="24"/>
          <w:szCs w:val="24"/>
        </w:rPr>
        <w:t xml:space="preserve"> (e.g., </w:t>
      </w:r>
      <w:r w:rsidRPr="00DD0632">
        <w:rPr>
          <w:rFonts w:ascii="Crimson Pro" w:hAnsi="Crimson Pro" w:cstheme="minorHAnsi"/>
          <w:sz w:val="24"/>
          <w:szCs w:val="24"/>
        </w:rPr>
        <w:t>vaccine education</w:t>
      </w:r>
      <w:r w:rsidR="00514B3E">
        <w:rPr>
          <w:rFonts w:ascii="Crimson Pro" w:hAnsi="Crimson Pro" w:cstheme="minorHAnsi"/>
          <w:sz w:val="24"/>
          <w:szCs w:val="24"/>
        </w:rPr>
        <w:t xml:space="preserve">, digital </w:t>
      </w:r>
      <w:r w:rsidRPr="00DD0632">
        <w:rPr>
          <w:rFonts w:ascii="Crimson Pro" w:hAnsi="Crimson Pro" w:cstheme="minorHAnsi"/>
          <w:sz w:val="24"/>
          <w:szCs w:val="24"/>
        </w:rPr>
        <w:t>literac</w:t>
      </w:r>
      <w:r w:rsidR="00514B3E">
        <w:rPr>
          <w:rFonts w:ascii="Crimson Pro" w:hAnsi="Crimson Pro" w:cstheme="minorHAnsi"/>
          <w:sz w:val="24"/>
          <w:szCs w:val="24"/>
        </w:rPr>
        <w:t>y,</w:t>
      </w:r>
      <w:r w:rsidR="00574788">
        <w:rPr>
          <w:rFonts w:ascii="Crimson Pro" w:hAnsi="Crimson Pro" w:cstheme="minorHAnsi"/>
          <w:sz w:val="24"/>
          <w:szCs w:val="24"/>
        </w:rPr>
        <w:t xml:space="preserve"> or</w:t>
      </w:r>
      <w:r w:rsidR="00514B3E">
        <w:rPr>
          <w:rFonts w:ascii="Crimson Pro" w:hAnsi="Crimson Pro" w:cstheme="minorHAnsi"/>
          <w:sz w:val="24"/>
          <w:szCs w:val="24"/>
        </w:rPr>
        <w:t xml:space="preserve"> </w:t>
      </w:r>
      <w:r w:rsidRPr="00DD0632">
        <w:rPr>
          <w:rFonts w:ascii="Crimson Pro" w:hAnsi="Crimson Pro" w:cstheme="minorHAnsi"/>
          <w:sz w:val="24"/>
          <w:szCs w:val="24"/>
        </w:rPr>
        <w:t>media campaigns</w:t>
      </w:r>
      <w:r w:rsidR="00514B3E">
        <w:rPr>
          <w:rFonts w:ascii="Crimson Pro" w:hAnsi="Crimson Pro" w:cstheme="minorHAnsi"/>
          <w:sz w:val="24"/>
          <w:szCs w:val="24"/>
        </w:rPr>
        <w:t>, l</w:t>
      </w:r>
      <w:r w:rsidRPr="00DD0632">
        <w:rPr>
          <w:rFonts w:ascii="Crimson Pro" w:hAnsi="Crimson Pro" w:cstheme="minorHAnsi"/>
          <w:sz w:val="24"/>
          <w:szCs w:val="24"/>
        </w:rPr>
        <w:t xml:space="preserve">egal </w:t>
      </w:r>
      <w:r w:rsidR="00574788">
        <w:rPr>
          <w:rFonts w:ascii="Crimson Pro" w:hAnsi="Crimson Pro" w:cstheme="minorHAnsi"/>
          <w:sz w:val="24"/>
          <w:szCs w:val="24"/>
        </w:rPr>
        <w:t>or</w:t>
      </w:r>
      <w:r w:rsidR="00C32CA5">
        <w:rPr>
          <w:rFonts w:ascii="Crimson Pro" w:hAnsi="Crimson Pro" w:cstheme="minorHAnsi"/>
          <w:sz w:val="24"/>
          <w:szCs w:val="24"/>
        </w:rPr>
        <w:t xml:space="preserve"> </w:t>
      </w:r>
      <w:r w:rsidRPr="00DD0632">
        <w:rPr>
          <w:rFonts w:ascii="Crimson Pro" w:hAnsi="Crimson Pro" w:cstheme="minorHAnsi"/>
          <w:sz w:val="24"/>
          <w:szCs w:val="24"/>
        </w:rPr>
        <w:t>punitive action</w:t>
      </w:r>
      <w:r w:rsidR="00574788">
        <w:rPr>
          <w:rFonts w:ascii="Crimson Pro" w:hAnsi="Crimson Pro" w:cstheme="minorHAnsi"/>
          <w:sz w:val="24"/>
          <w:szCs w:val="24"/>
        </w:rPr>
        <w:t xml:space="preserve"> for spreading misinformation</w:t>
      </w:r>
      <w:r w:rsidR="00514B3E">
        <w:rPr>
          <w:rFonts w:ascii="Crimson Pro" w:hAnsi="Crimson Pro" w:cstheme="minorHAnsi"/>
          <w:sz w:val="24"/>
          <w:szCs w:val="24"/>
        </w:rPr>
        <w:t>, p</w:t>
      </w:r>
      <w:r w:rsidRPr="00DD0632">
        <w:rPr>
          <w:rFonts w:ascii="Crimson Pro" w:hAnsi="Crimson Pro" w:cstheme="minorHAnsi"/>
          <w:sz w:val="24"/>
          <w:szCs w:val="24"/>
        </w:rPr>
        <w:t>ublic-private collaboration</w:t>
      </w:r>
      <w:r w:rsidR="00514B3E">
        <w:rPr>
          <w:rFonts w:ascii="Crimson Pro" w:hAnsi="Crimson Pro" w:cstheme="minorHAnsi"/>
          <w:sz w:val="24"/>
          <w:szCs w:val="24"/>
        </w:rPr>
        <w:t xml:space="preserve">, </w:t>
      </w:r>
      <w:r w:rsidR="00574788">
        <w:rPr>
          <w:rFonts w:ascii="Crimson Pro" w:hAnsi="Crimson Pro" w:cstheme="minorHAnsi"/>
          <w:sz w:val="24"/>
          <w:szCs w:val="24"/>
        </w:rPr>
        <w:t xml:space="preserve">or engaging </w:t>
      </w:r>
      <w:r w:rsidR="00514B3E">
        <w:rPr>
          <w:rFonts w:ascii="Crimson Pro" w:hAnsi="Crimson Pro" w:cstheme="minorHAnsi"/>
          <w:sz w:val="24"/>
          <w:szCs w:val="24"/>
        </w:rPr>
        <w:t>c</w:t>
      </w:r>
      <w:r w:rsidRPr="004C139A">
        <w:rPr>
          <w:rFonts w:ascii="Crimson Pro" w:hAnsi="Crimson Pro" w:cstheme="minorHAnsi"/>
          <w:sz w:val="24"/>
          <w:szCs w:val="24"/>
        </w:rPr>
        <w:t>ommunication ambassadors</w:t>
      </w:r>
      <w:r w:rsidR="00514B3E">
        <w:rPr>
          <w:rFonts w:ascii="Crimson Pro" w:hAnsi="Crimson Pro" w:cstheme="minorHAnsi"/>
          <w:sz w:val="24"/>
          <w:szCs w:val="24"/>
        </w:rPr>
        <w:t xml:space="preserve">)? </w:t>
      </w:r>
      <w:r w:rsidR="00EE31F2">
        <w:rPr>
          <w:rFonts w:ascii="Crimson Pro" w:hAnsi="Crimson Pro" w:cstheme="minorHAnsi"/>
          <w:sz w:val="24"/>
          <w:szCs w:val="24"/>
        </w:rPr>
        <w:t xml:space="preserve">How effective have these practices been? Is </w:t>
      </w:r>
      <w:r w:rsidRPr="004C139A">
        <w:rPr>
          <w:rFonts w:ascii="Crimson Pro" w:hAnsi="Crimson Pro" w:cstheme="minorHAnsi"/>
          <w:sz w:val="24"/>
          <w:szCs w:val="24"/>
        </w:rPr>
        <w:t xml:space="preserve">government </w:t>
      </w:r>
      <w:r w:rsidR="00EE31F2">
        <w:rPr>
          <w:rFonts w:ascii="Crimson Pro" w:hAnsi="Crimson Pro" w:cstheme="minorHAnsi"/>
          <w:sz w:val="24"/>
          <w:szCs w:val="24"/>
        </w:rPr>
        <w:t xml:space="preserve">messaging on vaccination </w:t>
      </w:r>
      <w:r w:rsidRPr="004C139A">
        <w:rPr>
          <w:rFonts w:ascii="Crimson Pro" w:hAnsi="Crimson Pro" w:cstheme="minorHAnsi"/>
          <w:sz w:val="24"/>
          <w:szCs w:val="24"/>
        </w:rPr>
        <w:t>consistent</w:t>
      </w:r>
      <w:r>
        <w:rPr>
          <w:rFonts w:ascii="Crimson Pro" w:hAnsi="Crimson Pro" w:cstheme="minorHAnsi"/>
          <w:sz w:val="24"/>
          <w:szCs w:val="24"/>
        </w:rPr>
        <w:t xml:space="preserve">? </w:t>
      </w:r>
      <w:r w:rsidR="00EE31F2" w:rsidRPr="00EE31F2">
        <w:rPr>
          <w:rFonts w:ascii="Crimson Pro" w:hAnsi="Crimson Pro" w:cstheme="minorHAnsi"/>
          <w:sz w:val="24"/>
          <w:szCs w:val="24"/>
        </w:rPr>
        <w:t xml:space="preserve">How did local </w:t>
      </w:r>
      <w:r w:rsidR="009C7A88">
        <w:rPr>
          <w:rFonts w:ascii="Crimson Pro" w:hAnsi="Crimson Pro" w:cstheme="minorHAnsi"/>
          <w:sz w:val="24"/>
          <w:szCs w:val="24"/>
        </w:rPr>
        <w:t>authorities</w:t>
      </w:r>
      <w:r w:rsidR="00EE31F2" w:rsidRPr="00EE31F2">
        <w:rPr>
          <w:rFonts w:ascii="Crimson Pro" w:hAnsi="Crimson Pro" w:cstheme="minorHAnsi"/>
          <w:sz w:val="24"/>
          <w:szCs w:val="24"/>
        </w:rPr>
        <w:t xml:space="preserve"> or the national government learn and adjust </w:t>
      </w:r>
      <w:r w:rsidR="00EE31F2">
        <w:rPr>
          <w:rFonts w:ascii="Crimson Pro" w:hAnsi="Crimson Pro" w:cstheme="minorHAnsi"/>
          <w:sz w:val="24"/>
          <w:szCs w:val="24"/>
        </w:rPr>
        <w:t xml:space="preserve">policies and practices over the course of the COVID-19 pandemic? </w:t>
      </w:r>
      <w:r w:rsidR="00AC6BF2" w:rsidRPr="004C139A">
        <w:rPr>
          <w:rFonts w:ascii="Crimson Pro" w:hAnsi="Crimson Pro" w:cstheme="minorHAnsi"/>
          <w:sz w:val="24"/>
          <w:szCs w:val="24"/>
        </w:rPr>
        <w:t xml:space="preserve">Does the government have a prerequisite level of public trust to effectively </w:t>
      </w:r>
      <w:r w:rsidR="00D448E3" w:rsidRPr="004C139A">
        <w:rPr>
          <w:rFonts w:ascii="Crimson Pro" w:hAnsi="Crimson Pro" w:cstheme="minorHAnsi"/>
          <w:sz w:val="24"/>
          <w:szCs w:val="24"/>
        </w:rPr>
        <w:t>influence health behaviors? Has this level of trust changed throughout the COVID-19 pandemic?</w:t>
      </w:r>
      <w:r>
        <w:rPr>
          <w:rFonts w:ascii="Crimson Pro" w:hAnsi="Crimson Pro" w:cstheme="minorHAnsi"/>
          <w:sz w:val="24"/>
          <w:szCs w:val="24"/>
        </w:rPr>
        <w:t xml:space="preserve"> </w:t>
      </w:r>
    </w:p>
    <w:p w14:paraId="326CA606" w14:textId="5DEE89F0" w:rsidR="00734146" w:rsidRPr="00F935CA" w:rsidRDefault="00622AF2" w:rsidP="00DD0632">
      <w:pPr>
        <w:ind w:left="5760" w:hanging="5760"/>
        <w:rPr>
          <w:rFonts w:ascii="Crimson Pro" w:hAnsi="Crimson Pro" w:cstheme="minorHAnsi"/>
          <w:b/>
          <w:bCs/>
          <w:sz w:val="24"/>
          <w:szCs w:val="24"/>
        </w:rPr>
      </w:pPr>
      <w:r>
        <w:rPr>
          <w:rFonts w:ascii="Crimson Pro" w:hAnsi="Crimson Pro" w:cstheme="minorHAnsi"/>
          <w:b/>
          <w:bCs/>
          <w:sz w:val="24"/>
          <w:szCs w:val="24"/>
        </w:rPr>
        <w:t>4</w:t>
      </w:r>
      <w:r w:rsidR="00734146" w:rsidRPr="00F935CA">
        <w:rPr>
          <w:rFonts w:ascii="Crimson Pro" w:hAnsi="Crimson Pro" w:cstheme="minorHAnsi"/>
          <w:b/>
          <w:bCs/>
          <w:sz w:val="24"/>
          <w:szCs w:val="24"/>
        </w:rPr>
        <w:t xml:space="preserve">: </w:t>
      </w:r>
      <w:r>
        <w:rPr>
          <w:rFonts w:ascii="Crimson Pro" w:hAnsi="Crimson Pro" w:cstheme="minorHAnsi"/>
          <w:b/>
          <w:bCs/>
          <w:sz w:val="24"/>
          <w:szCs w:val="24"/>
        </w:rPr>
        <w:t xml:space="preserve">Identifying </w:t>
      </w:r>
      <w:r w:rsidR="004C139A">
        <w:rPr>
          <w:rFonts w:ascii="Crimson Pro" w:hAnsi="Crimson Pro" w:cstheme="minorHAnsi"/>
          <w:b/>
          <w:bCs/>
          <w:sz w:val="24"/>
          <w:szCs w:val="24"/>
        </w:rPr>
        <w:t>ways forward: L</w:t>
      </w:r>
      <w:r>
        <w:rPr>
          <w:rFonts w:ascii="Crimson Pro" w:hAnsi="Crimson Pro" w:cstheme="minorHAnsi"/>
          <w:b/>
          <w:bCs/>
          <w:sz w:val="24"/>
          <w:szCs w:val="24"/>
        </w:rPr>
        <w:t>earnings, best practices, and policy recommendations</w:t>
      </w:r>
    </w:p>
    <w:p w14:paraId="31300B39" w14:textId="0CECBDA9" w:rsidR="009A3B5E" w:rsidRPr="001F069A" w:rsidRDefault="00EE31F2" w:rsidP="001F069A">
      <w:pPr>
        <w:widowControl w:val="0"/>
        <w:spacing w:line="240" w:lineRule="auto"/>
        <w:rPr>
          <w:rFonts w:ascii="Crimson Pro" w:hAnsi="Crimson Pro" w:cstheme="minorHAnsi"/>
          <w:sz w:val="24"/>
          <w:szCs w:val="24"/>
        </w:rPr>
      </w:pPr>
      <w:r>
        <w:rPr>
          <w:rFonts w:ascii="Crimson Pro" w:hAnsi="Crimson Pro" w:cstheme="minorHAnsi"/>
          <w:sz w:val="24"/>
          <w:szCs w:val="24"/>
        </w:rPr>
        <w:t xml:space="preserve">How can the policies identified above be adjusted to better address challenges of vaccine hesitancy, misinformation, and disinformation? What policies or practices </w:t>
      </w:r>
      <w:r w:rsidR="005110D1">
        <w:rPr>
          <w:rFonts w:ascii="Crimson Pro" w:hAnsi="Crimson Pro" w:cstheme="minorHAnsi"/>
          <w:sz w:val="24"/>
          <w:szCs w:val="24"/>
        </w:rPr>
        <w:t>from</w:t>
      </w:r>
      <w:r>
        <w:rPr>
          <w:rFonts w:ascii="Crimson Pro" w:hAnsi="Crimson Pro" w:cstheme="minorHAnsi"/>
          <w:sz w:val="24"/>
          <w:szCs w:val="24"/>
        </w:rPr>
        <w:t xml:space="preserve"> the country </w:t>
      </w:r>
      <w:r w:rsidR="009D10E5">
        <w:rPr>
          <w:rFonts w:ascii="Crimson Pro" w:hAnsi="Crimson Pro" w:cstheme="minorHAnsi"/>
          <w:sz w:val="24"/>
          <w:szCs w:val="24"/>
        </w:rPr>
        <w:t xml:space="preserve">can be considered </w:t>
      </w:r>
      <w:r w:rsidR="0029667D">
        <w:rPr>
          <w:rFonts w:ascii="Crimson Pro" w:hAnsi="Crimson Pro" w:cstheme="minorHAnsi"/>
          <w:sz w:val="24"/>
          <w:szCs w:val="24"/>
        </w:rPr>
        <w:t xml:space="preserve">best practices that </w:t>
      </w:r>
      <w:r>
        <w:rPr>
          <w:rFonts w:ascii="Crimson Pro" w:hAnsi="Crimson Pro" w:cstheme="minorHAnsi"/>
          <w:sz w:val="24"/>
          <w:szCs w:val="24"/>
        </w:rPr>
        <w:t>policymakers in other countries</w:t>
      </w:r>
      <w:r w:rsidR="0029667D">
        <w:rPr>
          <w:rFonts w:ascii="Crimson Pro" w:hAnsi="Crimson Pro" w:cstheme="minorHAnsi"/>
          <w:sz w:val="24"/>
          <w:szCs w:val="24"/>
        </w:rPr>
        <w:t xml:space="preserve"> can</w:t>
      </w:r>
      <w:r w:rsidR="009D10E5">
        <w:rPr>
          <w:rFonts w:ascii="Crimson Pro" w:hAnsi="Crimson Pro" w:cstheme="minorHAnsi"/>
          <w:sz w:val="24"/>
          <w:szCs w:val="24"/>
        </w:rPr>
        <w:t xml:space="preserve"> adopt</w:t>
      </w:r>
      <w:r>
        <w:rPr>
          <w:rFonts w:ascii="Crimson Pro" w:hAnsi="Crimson Pro" w:cstheme="minorHAnsi"/>
          <w:sz w:val="24"/>
          <w:szCs w:val="24"/>
        </w:rPr>
        <w:t xml:space="preserve">? </w:t>
      </w:r>
      <w:r w:rsidR="0029667D" w:rsidRPr="0029667D">
        <w:rPr>
          <w:rFonts w:ascii="Crimson Pro" w:hAnsi="Crimson Pro" w:cstheme="minorHAnsi"/>
          <w:sz w:val="24"/>
          <w:szCs w:val="24"/>
        </w:rPr>
        <w:t>Moving forward, which lessons from vaccine communication in the country should policymakers pay the most attention to?</w:t>
      </w:r>
      <w:r w:rsidR="009C7A88">
        <w:rPr>
          <w:rFonts w:ascii="Crimson Pro" w:hAnsi="Crimson Pro" w:cstheme="minorHAnsi"/>
          <w:sz w:val="24"/>
          <w:szCs w:val="24"/>
        </w:rPr>
        <w:t xml:space="preserve"> Have there been lessons from the COVID-19 pandemic that governments and societies can apply to combat misinformation and disinformation on other topics?</w:t>
      </w:r>
      <w:r w:rsidR="009A3B5E">
        <w:rPr>
          <w:rFonts w:ascii="Crimson Pro" w:hAnsi="Crimson Pro" w:cstheme="minorHAnsi"/>
          <w:b/>
          <w:bCs/>
          <w:sz w:val="24"/>
          <w:szCs w:val="24"/>
        </w:rPr>
        <w:br w:type="page"/>
      </w:r>
    </w:p>
    <w:p w14:paraId="38A9861F" w14:textId="0C3BCDAA" w:rsidR="00267D35" w:rsidRPr="00F935CA" w:rsidRDefault="00FE1051" w:rsidP="003A1A91">
      <w:pPr>
        <w:rPr>
          <w:rFonts w:ascii="Crimson Pro" w:hAnsi="Crimson Pro" w:cstheme="minorHAnsi"/>
          <w:sz w:val="24"/>
          <w:szCs w:val="24"/>
        </w:rPr>
      </w:pPr>
      <w:r w:rsidRPr="00FE1051">
        <w:rPr>
          <w:rFonts w:ascii="Crimson Pro" w:hAnsi="Crimson Pro" w:cstheme="minorHAnsi"/>
          <w:b/>
          <w:bCs/>
          <w:sz w:val="24"/>
          <w:szCs w:val="24"/>
        </w:rPr>
        <w:t>Background</w:t>
      </w:r>
    </w:p>
    <w:p w14:paraId="1FD35815" w14:textId="4325F997" w:rsidR="003A1A91" w:rsidRPr="00F935CA" w:rsidRDefault="006F63BA" w:rsidP="003A1A91">
      <w:pPr>
        <w:rPr>
          <w:rFonts w:ascii="Crimson Pro" w:hAnsi="Crimson Pro" w:cstheme="minorHAnsi"/>
          <w:i/>
          <w:iCs/>
          <w:sz w:val="24"/>
          <w:szCs w:val="24"/>
        </w:rPr>
      </w:pPr>
      <w:r>
        <w:rPr>
          <w:rFonts w:ascii="Crimson Pro" w:hAnsi="Crimson Pro" w:cstheme="minorHAnsi"/>
          <w:i/>
          <w:iCs/>
          <w:sz w:val="24"/>
          <w:szCs w:val="24"/>
        </w:rPr>
        <w:t>Public health and v</w:t>
      </w:r>
      <w:r w:rsidR="003A1A91" w:rsidRPr="00F935CA">
        <w:rPr>
          <w:rFonts w:ascii="Crimson Pro" w:hAnsi="Crimson Pro" w:cstheme="minorHAnsi"/>
          <w:i/>
          <w:iCs/>
          <w:sz w:val="24"/>
          <w:szCs w:val="24"/>
        </w:rPr>
        <w:t>accine hesitancy</w:t>
      </w:r>
      <w:r>
        <w:rPr>
          <w:rFonts w:ascii="Crimson Pro" w:hAnsi="Crimson Pro" w:cstheme="minorHAnsi"/>
          <w:i/>
          <w:iCs/>
          <w:sz w:val="24"/>
          <w:szCs w:val="24"/>
        </w:rPr>
        <w:t xml:space="preserve"> in Asia</w:t>
      </w:r>
    </w:p>
    <w:p w14:paraId="202B1D5E" w14:textId="68185365" w:rsidR="00A2326C" w:rsidRPr="00C90391" w:rsidRDefault="00C52BA3" w:rsidP="00C90391">
      <w:pPr>
        <w:rPr>
          <w:rFonts w:ascii="Crimson Pro" w:hAnsi="Crimson Pro" w:cstheme="minorHAnsi"/>
          <w:sz w:val="24"/>
          <w:szCs w:val="24"/>
        </w:rPr>
      </w:pPr>
      <w:r>
        <w:rPr>
          <w:rFonts w:ascii="Crimson Pro" w:hAnsi="Crimson Pro" w:cstheme="minorHAnsi"/>
          <w:sz w:val="24"/>
          <w:szCs w:val="24"/>
        </w:rPr>
        <w:t>Asia’s p</w:t>
      </w:r>
      <w:r w:rsidR="00A2326C">
        <w:rPr>
          <w:rFonts w:ascii="Crimson Pro" w:hAnsi="Crimson Pro" w:cstheme="minorHAnsi"/>
          <w:sz w:val="24"/>
          <w:szCs w:val="24"/>
        </w:rPr>
        <w:t xml:space="preserve">ublic health institutions developed in </w:t>
      </w:r>
      <w:r w:rsidR="00F46F16">
        <w:rPr>
          <w:rFonts w:ascii="Crimson Pro" w:hAnsi="Crimson Pro" w:cstheme="minorHAnsi"/>
          <w:sz w:val="24"/>
          <w:szCs w:val="24"/>
        </w:rPr>
        <w:t>various</w:t>
      </w:r>
      <w:r>
        <w:rPr>
          <w:rFonts w:ascii="Crimson Pro" w:hAnsi="Crimson Pro" w:cstheme="minorHAnsi"/>
          <w:sz w:val="24"/>
          <w:szCs w:val="24"/>
        </w:rPr>
        <w:t xml:space="preserve"> political, social, and economic contexts</w:t>
      </w:r>
      <w:r w:rsidR="00BB2BD7">
        <w:rPr>
          <w:rFonts w:ascii="Crimson Pro" w:hAnsi="Crimson Pro" w:cstheme="minorHAnsi"/>
          <w:sz w:val="24"/>
          <w:szCs w:val="24"/>
        </w:rPr>
        <w:t>, especially in the 20</w:t>
      </w:r>
      <w:r w:rsidR="00BB2BD7" w:rsidRPr="00BB2BD7">
        <w:rPr>
          <w:rFonts w:ascii="Crimson Pro" w:hAnsi="Crimson Pro" w:cstheme="minorHAnsi"/>
          <w:sz w:val="24"/>
          <w:szCs w:val="24"/>
          <w:vertAlign w:val="superscript"/>
        </w:rPr>
        <w:t>th</w:t>
      </w:r>
      <w:r w:rsidR="00BB2BD7">
        <w:rPr>
          <w:rFonts w:ascii="Crimson Pro" w:hAnsi="Crimson Pro" w:cstheme="minorHAnsi"/>
          <w:sz w:val="24"/>
          <w:szCs w:val="24"/>
        </w:rPr>
        <w:t xml:space="preserve"> century</w:t>
      </w:r>
      <w:r>
        <w:rPr>
          <w:rFonts w:ascii="Crimson Pro" w:hAnsi="Crimson Pro" w:cstheme="minorHAnsi"/>
          <w:sz w:val="24"/>
          <w:szCs w:val="24"/>
        </w:rPr>
        <w:t xml:space="preserve">. In some places, public health is tied to a history of colonialism, during which European </w:t>
      </w:r>
      <w:r w:rsidR="00BB2BD7">
        <w:rPr>
          <w:rFonts w:ascii="Crimson Pro" w:hAnsi="Crimson Pro" w:cstheme="minorHAnsi"/>
          <w:sz w:val="24"/>
          <w:szCs w:val="24"/>
        </w:rPr>
        <w:t xml:space="preserve">ideas and systems related to public </w:t>
      </w:r>
      <w:r>
        <w:rPr>
          <w:rFonts w:ascii="Crimson Pro" w:hAnsi="Crimson Pro" w:cstheme="minorHAnsi"/>
          <w:sz w:val="24"/>
          <w:szCs w:val="24"/>
        </w:rPr>
        <w:t>health, which developed during the industrial revolution</w:t>
      </w:r>
      <w:r w:rsidR="00BB2BD7">
        <w:rPr>
          <w:rFonts w:ascii="Crimson Pro" w:hAnsi="Crimson Pro" w:cstheme="minorHAnsi"/>
          <w:sz w:val="24"/>
          <w:szCs w:val="24"/>
        </w:rPr>
        <w:t xml:space="preserve"> from the hygiene and sanitation movements</w:t>
      </w:r>
      <w:r>
        <w:rPr>
          <w:rFonts w:ascii="Crimson Pro" w:hAnsi="Crimson Pro" w:cstheme="minorHAnsi"/>
          <w:sz w:val="24"/>
          <w:szCs w:val="24"/>
        </w:rPr>
        <w:t xml:space="preserve">, were transplanted to Asian colonies. Places </w:t>
      </w:r>
      <w:r w:rsidR="00BB2BD7">
        <w:rPr>
          <w:rFonts w:ascii="Crimson Pro" w:hAnsi="Crimson Pro" w:cstheme="minorHAnsi"/>
          <w:sz w:val="24"/>
          <w:szCs w:val="24"/>
        </w:rPr>
        <w:t xml:space="preserve">once </w:t>
      </w:r>
      <w:r>
        <w:rPr>
          <w:rFonts w:ascii="Crimson Pro" w:hAnsi="Crimson Pro" w:cstheme="minorHAnsi"/>
          <w:sz w:val="24"/>
          <w:szCs w:val="24"/>
        </w:rPr>
        <w:t xml:space="preserve">under Japanese control also </w:t>
      </w:r>
      <w:r w:rsidR="00BB2BD7">
        <w:rPr>
          <w:rFonts w:ascii="Crimson Pro" w:hAnsi="Crimson Pro" w:cstheme="minorHAnsi"/>
          <w:sz w:val="24"/>
          <w:szCs w:val="24"/>
        </w:rPr>
        <w:t xml:space="preserve">developed public health systems. As </w:t>
      </w:r>
      <w:r w:rsidR="00AD4580">
        <w:rPr>
          <w:rFonts w:ascii="Crimson Pro" w:hAnsi="Crimson Pro" w:cstheme="minorHAnsi"/>
          <w:sz w:val="24"/>
          <w:szCs w:val="24"/>
        </w:rPr>
        <w:t>economic globalization accelerated and multilateral governance institutions, such as the World Health Organization (WHO) emerged, Asia-Pacific societies experienced economic growth that contributed to improved nutrition, disease eradication, and more robust public health systems that ultimately led to longer, healthier lives</w:t>
      </w:r>
      <w:r w:rsidR="00F46F16">
        <w:rPr>
          <w:rFonts w:ascii="Crimson Pro" w:hAnsi="Crimson Pro" w:cstheme="minorHAnsi"/>
          <w:sz w:val="24"/>
          <w:szCs w:val="24"/>
        </w:rPr>
        <w:t>.</w:t>
      </w:r>
      <w:r w:rsidR="00AD4580" w:rsidRPr="00AD4580">
        <w:rPr>
          <w:rFonts w:ascii="Crimson Pro" w:hAnsi="Crimson Pro" w:cstheme="minorHAnsi"/>
          <w:sz w:val="24"/>
          <w:szCs w:val="24"/>
          <w:vertAlign w:val="superscript"/>
        </w:rPr>
        <w:t xml:space="preserve"> </w:t>
      </w:r>
      <w:r w:rsidR="00AD4580" w:rsidRPr="00AD4580">
        <w:rPr>
          <w:rFonts w:ascii="Crimson Pro" w:hAnsi="Crimson Pro" w:cstheme="minorHAnsi"/>
          <w:sz w:val="24"/>
          <w:szCs w:val="24"/>
          <w:vertAlign w:val="superscript"/>
        </w:rPr>
        <w:footnoteReference w:id="1"/>
      </w:r>
      <w:r w:rsidR="00AD4580">
        <w:rPr>
          <w:rFonts w:ascii="Crimson Pro" w:hAnsi="Crimson Pro" w:cstheme="minorHAnsi"/>
          <w:sz w:val="24"/>
          <w:szCs w:val="24"/>
        </w:rPr>
        <w:t xml:space="preserve"> </w:t>
      </w:r>
      <w:r w:rsidR="00337FA6">
        <w:rPr>
          <w:rFonts w:ascii="Crimson Pro" w:hAnsi="Crimson Pro" w:cstheme="minorHAnsi"/>
          <w:sz w:val="24"/>
          <w:szCs w:val="24"/>
        </w:rPr>
        <w:t xml:space="preserve">Despite growing prosperity and improving health status, new challenges in health have developed in the Asia Pacific region. As longevity increases and birth rates fall, the region’s health systems must focus on preventive care and treating chronic diseases that become more prevalent as people age. Climate change is altering rainfall patterns, sea levels, and average temperatures in the region, increasing the risk of tropical and vector-borne diseases spreading from their endemic areas. Moreover, cultural and political shifts are changing how people receive and interpret health information, contributing to public perceptions and trust in medical authorities and governments. Over the last half century and especially since the COVID-19 pandemic, vaccine hesitancy has emerged as a multifaced challenge facing many societies in the Asia Pacific and the world. </w:t>
      </w:r>
    </w:p>
    <w:p w14:paraId="53451369" w14:textId="67DF97C4" w:rsidR="00A2326C" w:rsidRDefault="00A2326C" w:rsidP="003A1A91">
      <w:pPr>
        <w:rPr>
          <w:rFonts w:ascii="Crimson Pro" w:hAnsi="Crimson Pro" w:cstheme="minorHAnsi"/>
          <w:sz w:val="24"/>
          <w:szCs w:val="24"/>
        </w:rPr>
      </w:pPr>
      <w:r w:rsidRPr="001971B9">
        <w:rPr>
          <w:rFonts w:ascii="Crimson Pro" w:hAnsi="Crimson Pro" w:cstheme="minorHAnsi"/>
          <w:sz w:val="24"/>
          <w:szCs w:val="24"/>
        </w:rPr>
        <w:t>The WHO’s Strategic Advisory Group of Experts on Immunization (SAGE) defines vaccine hesitancy as the</w:t>
      </w:r>
      <w:r>
        <w:rPr>
          <w:rFonts w:ascii="Crimson Pro" w:hAnsi="Crimson Pro" w:cstheme="minorHAnsi"/>
          <w:sz w:val="24"/>
          <w:szCs w:val="24"/>
        </w:rPr>
        <w:t xml:space="preserve"> </w:t>
      </w:r>
      <w:r w:rsidRPr="001971B9">
        <w:rPr>
          <w:rFonts w:ascii="Crimson Pro" w:hAnsi="Crimson Pro" w:cstheme="minorHAnsi"/>
          <w:sz w:val="24"/>
          <w:szCs w:val="24"/>
        </w:rPr>
        <w:t>“delay in acceptance or refusal of vaccines despite availability of vaccination services.”</w:t>
      </w:r>
      <w:r w:rsidRPr="001971B9">
        <w:rPr>
          <w:rFonts w:ascii="Crimson Pro" w:hAnsi="Crimson Pro" w:cstheme="minorHAnsi"/>
          <w:sz w:val="24"/>
          <w:szCs w:val="24"/>
          <w:vertAlign w:val="superscript"/>
        </w:rPr>
        <w:footnoteReference w:id="2"/>
      </w:r>
      <w:r w:rsidRPr="001971B9">
        <w:rPr>
          <w:rFonts w:ascii="Crimson Pro" w:hAnsi="Crimson Pro" w:cstheme="minorHAnsi"/>
          <w:sz w:val="24"/>
          <w:szCs w:val="24"/>
        </w:rPr>
        <w:t xml:space="preserve"> In 2019, the WHO listed vaccine hesitancy among ten key threats to global health</w:t>
      </w:r>
      <w:r>
        <w:rPr>
          <w:rFonts w:ascii="Crimson Pro" w:hAnsi="Crimson Pro" w:cstheme="minorHAnsi"/>
          <w:sz w:val="24"/>
          <w:szCs w:val="24"/>
        </w:rPr>
        <w:t>,</w:t>
      </w:r>
      <w:r w:rsidRPr="00493262">
        <w:rPr>
          <w:rFonts w:ascii="Crimson Pro" w:hAnsi="Crimson Pro" w:cstheme="minorHAnsi"/>
          <w:sz w:val="24"/>
          <w:szCs w:val="24"/>
        </w:rPr>
        <w:t xml:space="preserve"> citing complacency, inconvenient access, and lack of confidence as key underlying reasons for vaccine hesitancy</w:t>
      </w:r>
      <w:r w:rsidRPr="001971B9">
        <w:rPr>
          <w:rFonts w:ascii="Crimson Pro" w:hAnsi="Crimson Pro" w:cstheme="minorHAnsi"/>
          <w:sz w:val="24"/>
          <w:szCs w:val="24"/>
        </w:rPr>
        <w:t>.</w:t>
      </w:r>
      <w:r w:rsidRPr="001971B9">
        <w:rPr>
          <w:rStyle w:val="FootnoteReference"/>
          <w:rFonts w:ascii="Crimson Pro" w:hAnsi="Crimson Pro" w:cstheme="minorHAnsi"/>
          <w:sz w:val="24"/>
          <w:szCs w:val="24"/>
        </w:rPr>
        <w:footnoteReference w:id="3"/>
      </w:r>
      <w:r w:rsidRPr="001971B9">
        <w:rPr>
          <w:rFonts w:ascii="Crimson Pro" w:hAnsi="Crimson Pro" w:cstheme="minorHAnsi"/>
          <w:sz w:val="24"/>
          <w:szCs w:val="24"/>
        </w:rPr>
        <w:t xml:space="preserve"> </w:t>
      </w:r>
      <w:r>
        <w:rPr>
          <w:rFonts w:ascii="Crimson Pro" w:hAnsi="Crimson Pro" w:cstheme="minorHAnsi"/>
          <w:sz w:val="24"/>
          <w:szCs w:val="24"/>
        </w:rPr>
        <w:t xml:space="preserve">The threat of vaccine hesitancy was highlighted </w:t>
      </w:r>
      <w:r w:rsidRPr="001971B9">
        <w:rPr>
          <w:rFonts w:ascii="Crimson Pro" w:hAnsi="Crimson Pro" w:cstheme="minorHAnsi"/>
          <w:sz w:val="24"/>
          <w:szCs w:val="24"/>
        </w:rPr>
        <w:t xml:space="preserve">during the COVID-19 pandemic, when several new vaccines were introduced to the world and </w:t>
      </w:r>
      <w:r>
        <w:rPr>
          <w:rFonts w:ascii="Crimson Pro" w:hAnsi="Crimson Pro" w:cstheme="minorHAnsi"/>
          <w:sz w:val="24"/>
          <w:szCs w:val="24"/>
        </w:rPr>
        <w:t xml:space="preserve">achieving </w:t>
      </w:r>
      <w:r w:rsidRPr="001971B9">
        <w:rPr>
          <w:rFonts w:ascii="Crimson Pro" w:hAnsi="Crimson Pro" w:cstheme="minorHAnsi"/>
          <w:sz w:val="24"/>
          <w:szCs w:val="24"/>
        </w:rPr>
        <w:t xml:space="preserve">high vaccine coverage became a key component of national plans end the pandemic. </w:t>
      </w:r>
      <w:r>
        <w:rPr>
          <w:rFonts w:ascii="Crimson Pro" w:hAnsi="Crimson Pro" w:cstheme="minorHAnsi"/>
          <w:sz w:val="24"/>
          <w:szCs w:val="24"/>
        </w:rPr>
        <w:t xml:space="preserve">Overall, </w:t>
      </w:r>
      <w:r w:rsidRPr="001971B9">
        <w:rPr>
          <w:rFonts w:ascii="Crimson Pro" w:hAnsi="Crimson Pro" w:cstheme="minorHAnsi"/>
          <w:sz w:val="24"/>
          <w:szCs w:val="24"/>
        </w:rPr>
        <w:t>the pandemic has shown that vaccine hesitancy has the potential to undermine the effectiveness of health policy interventions and threaten population health.</w:t>
      </w:r>
      <w:r>
        <w:rPr>
          <w:rStyle w:val="FootnoteReference"/>
          <w:rFonts w:ascii="Crimson Pro" w:hAnsi="Crimson Pro" w:cstheme="minorHAnsi"/>
          <w:sz w:val="24"/>
          <w:szCs w:val="24"/>
        </w:rPr>
        <w:footnoteReference w:id="4"/>
      </w:r>
      <w:r w:rsidRPr="00F935CA">
        <w:rPr>
          <w:rFonts w:ascii="Crimson Pro" w:hAnsi="Crimson Pro" w:cstheme="minorHAnsi"/>
          <w:sz w:val="24"/>
          <w:szCs w:val="24"/>
        </w:rPr>
        <w:t xml:space="preserve"> </w:t>
      </w:r>
    </w:p>
    <w:p w14:paraId="0D4EEFC1" w14:textId="727EB285" w:rsidR="00A2326C" w:rsidRPr="00493262" w:rsidRDefault="00A2326C" w:rsidP="00493262">
      <w:pPr>
        <w:rPr>
          <w:rFonts w:ascii="Crimson Pro" w:hAnsi="Crimson Pro" w:cstheme="minorHAnsi"/>
          <w:sz w:val="24"/>
          <w:szCs w:val="24"/>
        </w:rPr>
      </w:pPr>
      <w:r w:rsidRPr="00493262">
        <w:rPr>
          <w:rFonts w:ascii="Crimson Pro" w:hAnsi="Crimson Pro" w:cstheme="minorHAnsi"/>
          <w:sz w:val="24"/>
          <w:szCs w:val="24"/>
        </w:rPr>
        <w:t>Attitudes toward vaccines vary substantially by geographical and historical context</w:t>
      </w:r>
      <w:r>
        <w:rPr>
          <w:rFonts w:ascii="Crimson Pro" w:hAnsi="Crimson Pro" w:cstheme="minorHAnsi"/>
          <w:sz w:val="24"/>
          <w:szCs w:val="24"/>
        </w:rPr>
        <w:t xml:space="preserve">. </w:t>
      </w:r>
      <w:r w:rsidRPr="00A10D95">
        <w:rPr>
          <w:rFonts w:ascii="Crimson Pro" w:hAnsi="Crimson Pro" w:cstheme="minorHAnsi"/>
          <w:sz w:val="24"/>
          <w:szCs w:val="24"/>
        </w:rPr>
        <w:t>Previous experiences and scandals related to vaccine efficacy and safety, cultural norms of individualism versus collective responsibility in public health, and attitudes toward medical institutions led to skepticism and complacency toward vaccination</w:t>
      </w:r>
      <w:r>
        <w:rPr>
          <w:rFonts w:ascii="Crimson Pro" w:hAnsi="Crimson Pro" w:cstheme="minorHAnsi"/>
          <w:sz w:val="24"/>
          <w:szCs w:val="24"/>
        </w:rPr>
        <w:t xml:space="preserve">, </w:t>
      </w:r>
      <w:r w:rsidRPr="00A10D95">
        <w:rPr>
          <w:rFonts w:ascii="Crimson Pro" w:hAnsi="Crimson Pro" w:cstheme="minorHAnsi"/>
          <w:sz w:val="24"/>
          <w:szCs w:val="24"/>
        </w:rPr>
        <w:t>in addition to individual demographic factors such as age, gender, income, education, and social class.</w:t>
      </w:r>
      <w:r w:rsidRPr="00A10D95">
        <w:rPr>
          <w:rFonts w:ascii="Crimson Pro" w:hAnsi="Crimson Pro" w:cstheme="minorHAnsi"/>
          <w:sz w:val="24"/>
          <w:szCs w:val="24"/>
          <w:vertAlign w:val="superscript"/>
        </w:rPr>
        <w:footnoteReference w:id="5"/>
      </w:r>
      <w:r w:rsidRPr="00493262">
        <w:rPr>
          <w:rFonts w:ascii="Crimson Pro" w:hAnsi="Crimson Pro" w:cstheme="minorHAnsi"/>
          <w:sz w:val="24"/>
          <w:szCs w:val="24"/>
        </w:rPr>
        <w:t xml:space="preserve"> Much of the literature on vaccine hesitancy has focused on the West—particularly the industrialized and democratic countries of North America and Europe.</w:t>
      </w:r>
      <w:r>
        <w:rPr>
          <w:rFonts w:ascii="Crimson Pro" w:hAnsi="Crimson Pro" w:cstheme="minorHAnsi"/>
          <w:sz w:val="24"/>
          <w:szCs w:val="24"/>
        </w:rPr>
        <w:t xml:space="preserve"> By contrast</w:t>
      </w:r>
      <w:r w:rsidRPr="00493262">
        <w:rPr>
          <w:rFonts w:ascii="Crimson Pro" w:hAnsi="Crimson Pro" w:cstheme="minorHAnsi"/>
          <w:sz w:val="24"/>
          <w:szCs w:val="24"/>
        </w:rPr>
        <w:t xml:space="preserve">, vaccine hesitancy in the Asia Pacific </w:t>
      </w:r>
      <w:r>
        <w:rPr>
          <w:rFonts w:ascii="Crimson Pro" w:hAnsi="Crimson Pro" w:cstheme="minorHAnsi"/>
          <w:sz w:val="24"/>
          <w:szCs w:val="24"/>
        </w:rPr>
        <w:t>is less researched but nonetheless remains a challenge</w:t>
      </w:r>
      <w:r w:rsidRPr="00493262">
        <w:rPr>
          <w:rFonts w:ascii="Crimson Pro" w:hAnsi="Crimson Pro" w:cstheme="minorHAnsi"/>
          <w:sz w:val="24"/>
          <w:szCs w:val="24"/>
        </w:rPr>
        <w:t xml:space="preserve">. </w:t>
      </w:r>
      <w:r>
        <w:rPr>
          <w:rFonts w:ascii="Crimson Pro" w:hAnsi="Crimson Pro" w:cstheme="minorHAnsi"/>
          <w:sz w:val="24"/>
          <w:szCs w:val="24"/>
        </w:rPr>
        <w:t>I</w:t>
      </w:r>
      <w:r w:rsidRPr="00493262">
        <w:rPr>
          <w:rFonts w:ascii="Crimson Pro" w:hAnsi="Crimson Pro" w:cstheme="minorHAnsi"/>
          <w:sz w:val="24"/>
          <w:szCs w:val="24"/>
        </w:rPr>
        <w:t>n both East Asia</w:t>
      </w:r>
      <w:r>
        <w:rPr>
          <w:rFonts w:ascii="Crimson Pro" w:hAnsi="Crimson Pro" w:cstheme="minorHAnsi"/>
          <w:sz w:val="24"/>
          <w:szCs w:val="24"/>
        </w:rPr>
        <w:t>n</w:t>
      </w:r>
      <w:r w:rsidRPr="00493262">
        <w:rPr>
          <w:rFonts w:ascii="Crimson Pro" w:hAnsi="Crimson Pro" w:cstheme="minorHAnsi"/>
          <w:sz w:val="24"/>
          <w:szCs w:val="24"/>
        </w:rPr>
        <w:t xml:space="preserve"> and western countries, distrust was </w:t>
      </w:r>
      <w:r>
        <w:rPr>
          <w:rFonts w:ascii="Crimson Pro" w:hAnsi="Crimson Pro" w:cstheme="minorHAnsi"/>
          <w:sz w:val="24"/>
          <w:szCs w:val="24"/>
        </w:rPr>
        <w:t xml:space="preserve">identified as </w:t>
      </w:r>
      <w:r w:rsidRPr="00493262">
        <w:rPr>
          <w:rFonts w:ascii="Crimson Pro" w:hAnsi="Crimson Pro" w:cstheme="minorHAnsi"/>
          <w:sz w:val="24"/>
          <w:szCs w:val="24"/>
        </w:rPr>
        <w:t>an antecedent of vaccine hesitancy. However, the object of distrust differed</w:t>
      </w:r>
      <w:r>
        <w:rPr>
          <w:rFonts w:ascii="Crimson Pro" w:hAnsi="Crimson Pro" w:cstheme="minorHAnsi"/>
          <w:sz w:val="24"/>
          <w:szCs w:val="24"/>
        </w:rPr>
        <w:t>,</w:t>
      </w:r>
      <w:r w:rsidRPr="00493262">
        <w:rPr>
          <w:rFonts w:ascii="Crimson Pro" w:hAnsi="Crimson Pro" w:cstheme="minorHAnsi"/>
          <w:sz w:val="24"/>
          <w:szCs w:val="24"/>
        </w:rPr>
        <w:t xml:space="preserve"> with the target of distrust in Asia being the vaccines themselves, compared with distrust of medical institutions or a vague “establishment” in western countries.</w:t>
      </w:r>
      <w:r w:rsidRPr="00493262">
        <w:rPr>
          <w:rFonts w:ascii="Crimson Pro" w:hAnsi="Crimson Pro" w:cstheme="minorHAnsi"/>
          <w:sz w:val="24"/>
          <w:szCs w:val="24"/>
          <w:vertAlign w:val="superscript"/>
        </w:rPr>
        <w:footnoteReference w:id="6"/>
      </w:r>
      <w:r w:rsidRPr="00493262">
        <w:rPr>
          <w:rFonts w:ascii="Crimson Pro" w:hAnsi="Crimson Pro" w:cstheme="minorHAnsi"/>
          <w:sz w:val="24"/>
          <w:szCs w:val="24"/>
        </w:rPr>
        <w:t xml:space="preserve"> </w:t>
      </w:r>
    </w:p>
    <w:p w14:paraId="480DA245" w14:textId="3CA7FC88" w:rsidR="00A2326C" w:rsidRPr="00F935CA" w:rsidRDefault="00A2326C" w:rsidP="003A1A91">
      <w:pPr>
        <w:rPr>
          <w:rFonts w:ascii="Crimson Pro" w:hAnsi="Crimson Pro" w:cstheme="minorHAnsi"/>
          <w:sz w:val="24"/>
          <w:szCs w:val="24"/>
        </w:rPr>
      </w:pPr>
      <w:r w:rsidRPr="00493262">
        <w:rPr>
          <w:rFonts w:ascii="Crimson Pro" w:hAnsi="Crimson Pro" w:cstheme="minorHAnsi"/>
          <w:sz w:val="24"/>
          <w:szCs w:val="24"/>
        </w:rPr>
        <w:t xml:space="preserve">The development and rollout of COVID-19 vaccines created a unique global environment in which vaccine hesitancy can be studied. Unlike other common vaccines, the COVID-19 vaccines </w:t>
      </w:r>
      <w:r>
        <w:rPr>
          <w:rFonts w:ascii="Crimson Pro" w:hAnsi="Crimson Pro" w:cstheme="minorHAnsi"/>
          <w:sz w:val="24"/>
          <w:szCs w:val="24"/>
        </w:rPr>
        <w:t xml:space="preserve">were developed and rolled out </w:t>
      </w:r>
      <w:r w:rsidRPr="00493262">
        <w:rPr>
          <w:rFonts w:ascii="Crimson Pro" w:hAnsi="Crimson Pro" w:cstheme="minorHAnsi"/>
          <w:sz w:val="24"/>
          <w:szCs w:val="24"/>
        </w:rPr>
        <w:t xml:space="preserve">rapidly and in the public eye, and achieving high vaccine coverage in populations was a key </w:t>
      </w:r>
      <w:r>
        <w:rPr>
          <w:rFonts w:ascii="Crimson Pro" w:hAnsi="Crimson Pro" w:cstheme="minorHAnsi"/>
          <w:sz w:val="24"/>
          <w:szCs w:val="24"/>
        </w:rPr>
        <w:t xml:space="preserve">goal in government </w:t>
      </w:r>
      <w:r w:rsidRPr="00493262">
        <w:rPr>
          <w:rFonts w:ascii="Crimson Pro" w:hAnsi="Crimson Pro" w:cstheme="minorHAnsi"/>
          <w:sz w:val="24"/>
          <w:szCs w:val="24"/>
        </w:rPr>
        <w:t xml:space="preserve">strategies to contain the virus’ spread. </w:t>
      </w:r>
      <w:r>
        <w:rPr>
          <w:rFonts w:ascii="Crimson Pro" w:hAnsi="Crimson Pro" w:cstheme="minorHAnsi"/>
          <w:sz w:val="24"/>
          <w:szCs w:val="24"/>
        </w:rPr>
        <w:t>Worldwide</w:t>
      </w:r>
      <w:r w:rsidRPr="00493262">
        <w:rPr>
          <w:rFonts w:ascii="Crimson Pro" w:hAnsi="Crimson Pro" w:cstheme="minorHAnsi"/>
          <w:sz w:val="24"/>
          <w:szCs w:val="24"/>
        </w:rPr>
        <w:t>, common concerns about the COVID-19 vaccines included their efficacy, safety, side effects, convenience, and price. In addition, hesitancy was affected by beliefs that the vaccine</w:t>
      </w:r>
      <w:r>
        <w:rPr>
          <w:rFonts w:ascii="Crimson Pro" w:hAnsi="Crimson Pro" w:cstheme="minorHAnsi"/>
          <w:sz w:val="24"/>
          <w:szCs w:val="24"/>
        </w:rPr>
        <w:t>s</w:t>
      </w:r>
      <w:r w:rsidRPr="00493262">
        <w:rPr>
          <w:rFonts w:ascii="Crimson Pro" w:hAnsi="Crimson Pro" w:cstheme="minorHAnsi"/>
          <w:sz w:val="24"/>
          <w:szCs w:val="24"/>
        </w:rPr>
        <w:t xml:space="preserve"> </w:t>
      </w:r>
      <w:r>
        <w:rPr>
          <w:rFonts w:ascii="Crimson Pro" w:hAnsi="Crimson Pro" w:cstheme="minorHAnsi"/>
          <w:sz w:val="24"/>
          <w:szCs w:val="24"/>
        </w:rPr>
        <w:t xml:space="preserve">were </w:t>
      </w:r>
      <w:r w:rsidRPr="00493262">
        <w:rPr>
          <w:rFonts w:ascii="Crimson Pro" w:hAnsi="Crimson Pro" w:cstheme="minorHAnsi"/>
          <w:sz w:val="24"/>
          <w:szCs w:val="24"/>
        </w:rPr>
        <w:t>unnecessary</w:t>
      </w:r>
      <w:r>
        <w:rPr>
          <w:rFonts w:ascii="Crimson Pro" w:hAnsi="Crimson Pro" w:cstheme="minorHAnsi"/>
          <w:sz w:val="24"/>
          <w:szCs w:val="24"/>
        </w:rPr>
        <w:t xml:space="preserve"> and</w:t>
      </w:r>
      <w:r w:rsidRPr="00493262">
        <w:rPr>
          <w:rFonts w:ascii="Crimson Pro" w:hAnsi="Crimson Pro" w:cstheme="minorHAnsi"/>
          <w:sz w:val="24"/>
          <w:szCs w:val="24"/>
        </w:rPr>
        <w:t xml:space="preserve"> that </w:t>
      </w:r>
      <w:r>
        <w:rPr>
          <w:rFonts w:ascii="Crimson Pro" w:hAnsi="Crimson Pro" w:cstheme="minorHAnsi"/>
          <w:sz w:val="24"/>
          <w:szCs w:val="24"/>
        </w:rPr>
        <w:t xml:space="preserve">development and </w:t>
      </w:r>
      <w:r w:rsidRPr="00493262">
        <w:rPr>
          <w:rFonts w:ascii="Crimson Pro" w:hAnsi="Crimson Pro" w:cstheme="minorHAnsi"/>
          <w:sz w:val="24"/>
          <w:szCs w:val="24"/>
        </w:rPr>
        <w:t xml:space="preserve">testing </w:t>
      </w:r>
      <w:r>
        <w:rPr>
          <w:rFonts w:ascii="Crimson Pro" w:hAnsi="Crimson Pro" w:cstheme="minorHAnsi"/>
          <w:sz w:val="24"/>
          <w:szCs w:val="24"/>
        </w:rPr>
        <w:t>were rushed or insufficient before rollout,</w:t>
      </w:r>
      <w:r w:rsidRPr="00493262">
        <w:rPr>
          <w:rFonts w:ascii="Crimson Pro" w:hAnsi="Crimson Pro" w:cstheme="minorHAnsi"/>
          <w:sz w:val="24"/>
          <w:szCs w:val="24"/>
        </w:rPr>
        <w:t xml:space="preserve"> </w:t>
      </w:r>
      <w:r>
        <w:rPr>
          <w:rFonts w:ascii="Crimson Pro" w:hAnsi="Crimson Pro" w:cstheme="minorHAnsi"/>
          <w:sz w:val="24"/>
          <w:szCs w:val="24"/>
        </w:rPr>
        <w:t xml:space="preserve">as well as </w:t>
      </w:r>
      <w:r w:rsidRPr="00493262">
        <w:rPr>
          <w:rFonts w:ascii="Crimson Pro" w:hAnsi="Crimson Pro" w:cstheme="minorHAnsi"/>
          <w:sz w:val="24"/>
          <w:szCs w:val="24"/>
        </w:rPr>
        <w:t xml:space="preserve">doubts concerning the financial motivation of health authorities and pharmaceutical companies </w:t>
      </w:r>
      <w:r>
        <w:rPr>
          <w:rFonts w:ascii="Crimson Pro" w:hAnsi="Crimson Pro" w:cstheme="minorHAnsi"/>
          <w:sz w:val="24"/>
          <w:szCs w:val="24"/>
        </w:rPr>
        <w:t xml:space="preserve">responsible for </w:t>
      </w:r>
      <w:r w:rsidRPr="00493262">
        <w:rPr>
          <w:rFonts w:ascii="Crimson Pro" w:hAnsi="Crimson Pro" w:cstheme="minorHAnsi"/>
          <w:sz w:val="24"/>
          <w:szCs w:val="24"/>
        </w:rPr>
        <w:t>vaccine development.</w:t>
      </w:r>
      <w:r w:rsidRPr="00493262">
        <w:rPr>
          <w:rFonts w:ascii="Crimson Pro" w:hAnsi="Crimson Pro" w:cstheme="minorHAnsi"/>
          <w:sz w:val="24"/>
          <w:szCs w:val="24"/>
          <w:vertAlign w:val="superscript"/>
        </w:rPr>
        <w:footnoteReference w:id="7"/>
      </w:r>
    </w:p>
    <w:p w14:paraId="2314F6B2" w14:textId="50EADC09" w:rsidR="00A2326C" w:rsidRPr="00F935CA" w:rsidRDefault="00A2326C" w:rsidP="003A1A91">
      <w:pPr>
        <w:rPr>
          <w:rFonts w:ascii="Crimson Pro" w:hAnsi="Crimson Pro" w:cstheme="minorHAnsi"/>
          <w:i/>
          <w:iCs/>
          <w:sz w:val="24"/>
          <w:szCs w:val="24"/>
        </w:rPr>
      </w:pPr>
      <w:r>
        <w:rPr>
          <w:rFonts w:ascii="Crimson Pro" w:hAnsi="Crimson Pro" w:cstheme="minorHAnsi"/>
          <w:i/>
          <w:iCs/>
          <w:sz w:val="24"/>
          <w:szCs w:val="24"/>
        </w:rPr>
        <w:t xml:space="preserve">Role of communication, media, misinformation, and disinformation in vaccine hesitancy </w:t>
      </w:r>
    </w:p>
    <w:p w14:paraId="10BA7248" w14:textId="05FF48C8" w:rsidR="00A2326C" w:rsidRDefault="00A2326C" w:rsidP="003A1A91">
      <w:pPr>
        <w:rPr>
          <w:rFonts w:ascii="Crimson Pro" w:hAnsi="Crimson Pro" w:cstheme="minorHAnsi"/>
          <w:sz w:val="24"/>
          <w:szCs w:val="24"/>
        </w:rPr>
      </w:pPr>
      <w:r w:rsidRPr="00691701">
        <w:rPr>
          <w:rFonts w:ascii="Crimson Pro" w:hAnsi="Crimson Pro" w:cstheme="minorHAnsi"/>
          <w:sz w:val="24"/>
          <w:szCs w:val="24"/>
        </w:rPr>
        <w:t>Misleading information</w:t>
      </w:r>
      <w:r>
        <w:rPr>
          <w:rFonts w:ascii="Crimson Pro" w:hAnsi="Crimson Pro" w:cstheme="minorHAnsi"/>
          <w:sz w:val="24"/>
          <w:szCs w:val="24"/>
        </w:rPr>
        <w:t xml:space="preserve"> </w:t>
      </w:r>
      <w:r w:rsidRPr="00691701">
        <w:rPr>
          <w:rFonts w:ascii="Crimson Pro" w:hAnsi="Crimson Pro" w:cstheme="minorHAnsi"/>
          <w:sz w:val="24"/>
          <w:szCs w:val="24"/>
        </w:rPr>
        <w:t>has dire consequences for public health, eroding trust in vaccines and potentially increasing healthcare burdens.</w:t>
      </w:r>
      <w:r>
        <w:rPr>
          <w:rFonts w:ascii="Crimson Pro" w:hAnsi="Crimson Pro" w:cstheme="minorHAnsi"/>
          <w:sz w:val="24"/>
          <w:szCs w:val="24"/>
        </w:rPr>
        <w:t xml:space="preserve"> M</w:t>
      </w:r>
      <w:r w:rsidRPr="00691701">
        <w:rPr>
          <w:rFonts w:ascii="Crimson Pro" w:hAnsi="Crimson Pro" w:cstheme="minorHAnsi"/>
          <w:sz w:val="24"/>
          <w:szCs w:val="24"/>
        </w:rPr>
        <w:t xml:space="preserve">isinformation is false or inaccurate information, whereas disinformation is false or misleading information deliberately spread to </w:t>
      </w:r>
      <w:r>
        <w:rPr>
          <w:rFonts w:ascii="Crimson Pro" w:hAnsi="Crimson Pro" w:cstheme="minorHAnsi"/>
          <w:sz w:val="24"/>
          <w:szCs w:val="24"/>
        </w:rPr>
        <w:t>sow</w:t>
      </w:r>
      <w:r w:rsidRPr="00691701">
        <w:rPr>
          <w:rFonts w:ascii="Crimson Pro" w:hAnsi="Crimson Pro" w:cstheme="minorHAnsi"/>
          <w:sz w:val="24"/>
          <w:szCs w:val="24"/>
        </w:rPr>
        <w:t xml:space="preserve"> fear and suspicion in a population.</w:t>
      </w:r>
      <w:r w:rsidRPr="00691701">
        <w:rPr>
          <w:rStyle w:val="FootnoteReference"/>
          <w:rFonts w:ascii="Crimson Pro" w:hAnsi="Crimson Pro" w:cstheme="minorHAnsi"/>
          <w:sz w:val="24"/>
          <w:szCs w:val="24"/>
        </w:rPr>
        <w:footnoteReference w:id="8"/>
      </w:r>
      <w:r w:rsidRPr="00691701">
        <w:rPr>
          <w:rFonts w:ascii="Crimson Pro" w:hAnsi="Crimson Pro" w:cstheme="minorHAnsi"/>
          <w:sz w:val="24"/>
          <w:szCs w:val="24"/>
        </w:rPr>
        <w:t xml:space="preserve"> During the COVID-19 pandemic, exposure to misinformation and disinformation</w:t>
      </w:r>
      <w:r>
        <w:rPr>
          <w:rFonts w:ascii="Crimson Pro" w:hAnsi="Crimson Pro" w:cstheme="minorHAnsi"/>
          <w:sz w:val="24"/>
          <w:szCs w:val="24"/>
        </w:rPr>
        <w:t xml:space="preserve"> has</w:t>
      </w:r>
      <w:r w:rsidRPr="00691701">
        <w:rPr>
          <w:rFonts w:ascii="Crimson Pro" w:hAnsi="Crimson Pro" w:cstheme="minorHAnsi"/>
          <w:sz w:val="24"/>
          <w:szCs w:val="24"/>
        </w:rPr>
        <w:t xml:space="preserve"> not only generate</w:t>
      </w:r>
      <w:r>
        <w:rPr>
          <w:rFonts w:ascii="Crimson Pro" w:hAnsi="Crimson Pro" w:cstheme="minorHAnsi"/>
          <w:sz w:val="24"/>
          <w:szCs w:val="24"/>
        </w:rPr>
        <w:t>d</w:t>
      </w:r>
      <w:r w:rsidRPr="00691701">
        <w:rPr>
          <w:rFonts w:ascii="Crimson Pro" w:hAnsi="Crimson Pro" w:cstheme="minorHAnsi"/>
          <w:sz w:val="24"/>
          <w:szCs w:val="24"/>
        </w:rPr>
        <w:t xml:space="preserve"> fear, panic, depression, stress, and anxiety but also </w:t>
      </w:r>
      <w:r>
        <w:rPr>
          <w:rFonts w:ascii="Crimson Pro" w:hAnsi="Crimson Pro" w:cstheme="minorHAnsi"/>
          <w:sz w:val="24"/>
          <w:szCs w:val="24"/>
        </w:rPr>
        <w:t xml:space="preserve">had </w:t>
      </w:r>
      <w:r w:rsidRPr="00691701">
        <w:rPr>
          <w:rFonts w:ascii="Crimson Pro" w:hAnsi="Crimson Pro" w:cstheme="minorHAnsi"/>
          <w:sz w:val="24"/>
          <w:szCs w:val="24"/>
        </w:rPr>
        <w:t xml:space="preserve">public health effects </w:t>
      </w:r>
      <w:r>
        <w:rPr>
          <w:rFonts w:ascii="Crimson Pro" w:hAnsi="Crimson Pro" w:cstheme="minorHAnsi"/>
          <w:sz w:val="24"/>
          <w:szCs w:val="24"/>
        </w:rPr>
        <w:t>through the</w:t>
      </w:r>
      <w:r w:rsidRPr="00691701">
        <w:rPr>
          <w:rFonts w:ascii="Crimson Pro" w:hAnsi="Crimson Pro" w:cstheme="minorHAnsi"/>
          <w:sz w:val="24"/>
          <w:szCs w:val="24"/>
        </w:rPr>
        <w:t xml:space="preserve"> fueling </w:t>
      </w:r>
      <w:r>
        <w:rPr>
          <w:rFonts w:ascii="Crimson Pro" w:hAnsi="Crimson Pro" w:cstheme="minorHAnsi"/>
          <w:sz w:val="24"/>
          <w:szCs w:val="24"/>
        </w:rPr>
        <w:t xml:space="preserve">of </w:t>
      </w:r>
      <w:r w:rsidRPr="00691701">
        <w:rPr>
          <w:rFonts w:ascii="Crimson Pro" w:hAnsi="Crimson Pro" w:cstheme="minorHAnsi"/>
          <w:sz w:val="24"/>
          <w:szCs w:val="24"/>
        </w:rPr>
        <w:t xml:space="preserve">public panic, spreading </w:t>
      </w:r>
      <w:r>
        <w:rPr>
          <w:rFonts w:ascii="Crimson Pro" w:hAnsi="Crimson Pro" w:cstheme="minorHAnsi"/>
          <w:sz w:val="24"/>
          <w:szCs w:val="24"/>
        </w:rPr>
        <w:t xml:space="preserve">of </w:t>
      </w:r>
      <w:r w:rsidRPr="00691701">
        <w:rPr>
          <w:rFonts w:ascii="Crimson Pro" w:hAnsi="Crimson Pro" w:cstheme="minorHAnsi"/>
          <w:sz w:val="24"/>
          <w:szCs w:val="24"/>
        </w:rPr>
        <w:t>dangerous health information, and discrediting of scientific and regulatory authorities.</w:t>
      </w:r>
      <w:r w:rsidRPr="00691701">
        <w:rPr>
          <w:rStyle w:val="FootnoteReference"/>
          <w:rFonts w:ascii="Crimson Pro" w:hAnsi="Crimson Pro" w:cstheme="minorHAnsi"/>
          <w:sz w:val="24"/>
          <w:szCs w:val="24"/>
        </w:rPr>
        <w:footnoteReference w:id="9"/>
      </w:r>
      <w:r>
        <w:rPr>
          <w:rFonts w:ascii="Crimson Pro" w:hAnsi="Crimson Pro" w:cstheme="minorHAnsi"/>
          <w:sz w:val="24"/>
          <w:szCs w:val="24"/>
        </w:rPr>
        <w:t xml:space="preserve"> </w:t>
      </w:r>
    </w:p>
    <w:p w14:paraId="4E07A8C7" w14:textId="584C307E" w:rsidR="00A2326C" w:rsidRPr="00F935CA" w:rsidRDefault="00A2326C" w:rsidP="003A1A91">
      <w:pPr>
        <w:rPr>
          <w:rFonts w:ascii="Crimson Pro" w:hAnsi="Crimson Pro" w:cstheme="minorHAnsi"/>
          <w:sz w:val="24"/>
          <w:szCs w:val="24"/>
        </w:rPr>
      </w:pPr>
      <w:r w:rsidRPr="009D17E4">
        <w:rPr>
          <w:rFonts w:ascii="Crimson Pro" w:hAnsi="Crimson Pro" w:cstheme="minorHAnsi"/>
          <w:sz w:val="24"/>
          <w:szCs w:val="24"/>
        </w:rPr>
        <w:t>The WHO SAGE identified the communication and media environment as one category of contextual influences of vaccine hesitancy. Traditional and social media can foster both positive and negative sentiments about vaccines, and social media provides open platforms for diverse actors to influence others in favor of or opposition to vaccines.</w:t>
      </w:r>
      <w:r w:rsidRPr="009D17E4">
        <w:rPr>
          <w:rFonts w:ascii="Crimson Pro" w:hAnsi="Crimson Pro" w:cstheme="minorHAnsi"/>
          <w:sz w:val="24"/>
          <w:szCs w:val="24"/>
          <w:vertAlign w:val="superscript"/>
        </w:rPr>
        <w:footnoteReference w:id="10"/>
      </w:r>
      <w:r>
        <w:rPr>
          <w:rFonts w:ascii="Crimson Pro" w:hAnsi="Crimson Pro" w:cstheme="minorHAnsi"/>
          <w:sz w:val="24"/>
          <w:szCs w:val="24"/>
        </w:rPr>
        <w:t xml:space="preserve"> </w:t>
      </w:r>
      <w:r w:rsidRPr="009D17E4">
        <w:rPr>
          <w:rFonts w:ascii="Crimson Pro" w:hAnsi="Crimson Pro" w:cstheme="minorHAnsi"/>
          <w:sz w:val="24"/>
          <w:szCs w:val="24"/>
        </w:rPr>
        <w:t>The wider media environment also affects governance</w:t>
      </w:r>
      <w:r>
        <w:rPr>
          <w:rFonts w:ascii="Crimson Pro" w:hAnsi="Crimson Pro" w:cstheme="minorHAnsi"/>
          <w:sz w:val="24"/>
          <w:szCs w:val="24"/>
        </w:rPr>
        <w:t>, political participation and civil society</w:t>
      </w:r>
      <w:r w:rsidRPr="009D17E4">
        <w:rPr>
          <w:rFonts w:ascii="Crimson Pro" w:hAnsi="Crimson Pro" w:cstheme="minorHAnsi"/>
          <w:sz w:val="24"/>
          <w:szCs w:val="24"/>
        </w:rPr>
        <w:t>, with UNESCO recommending media ecosystems that promote freedom of expression, pluralism, and diversity.</w:t>
      </w:r>
      <w:r w:rsidRPr="009D17E4">
        <w:rPr>
          <w:rFonts w:ascii="Crimson Pro" w:hAnsi="Crimson Pro" w:cstheme="minorHAnsi"/>
          <w:sz w:val="24"/>
          <w:szCs w:val="24"/>
          <w:vertAlign w:val="superscript"/>
        </w:rPr>
        <w:footnoteReference w:id="11"/>
      </w:r>
      <w:r w:rsidRPr="009D17E4">
        <w:rPr>
          <w:rFonts w:ascii="Crimson Pro" w:hAnsi="Crimson Pro" w:cstheme="minorHAnsi"/>
          <w:sz w:val="24"/>
          <w:szCs w:val="24"/>
        </w:rPr>
        <w:t xml:space="preserve"> However, these principles become challenging to promote as societies face growing concerns of misinformation and disinformation that threaten public safety and social cohesion.</w:t>
      </w:r>
    </w:p>
    <w:p w14:paraId="13532072" w14:textId="180AF1F8" w:rsidR="00A2326C" w:rsidRPr="00F935CA" w:rsidRDefault="00A2326C" w:rsidP="00E376E2">
      <w:pPr>
        <w:rPr>
          <w:rFonts w:ascii="Crimson Pro" w:hAnsi="Crimson Pro" w:cstheme="minorHAnsi"/>
          <w:sz w:val="24"/>
          <w:szCs w:val="24"/>
        </w:rPr>
      </w:pPr>
      <w:r w:rsidRPr="00E376E2">
        <w:rPr>
          <w:rFonts w:ascii="Crimson Pro" w:hAnsi="Crimson Pro" w:cstheme="minorHAnsi"/>
          <w:sz w:val="24"/>
          <w:szCs w:val="24"/>
        </w:rPr>
        <w:t xml:space="preserve">Although concerns about misinformation and disinformation are hardly new, in the last six years, efforts have accelerated to regulate these types of information, especially in East and Southeast Asia. Several countries have implemented laws and other initiatives to reduce the pervasiveness of misinformation and disinformation. These initiatives include laws banning “fake news” and providing government authorities </w:t>
      </w:r>
      <w:r>
        <w:rPr>
          <w:rFonts w:ascii="Crimson Pro" w:hAnsi="Crimson Pro" w:cstheme="minorHAnsi"/>
          <w:sz w:val="24"/>
          <w:szCs w:val="24"/>
        </w:rPr>
        <w:t xml:space="preserve">the </w:t>
      </w:r>
      <w:r w:rsidRPr="00E376E2">
        <w:rPr>
          <w:rFonts w:ascii="Crimson Pro" w:hAnsi="Crimson Pro" w:cstheme="minorHAnsi"/>
          <w:sz w:val="24"/>
          <w:szCs w:val="24"/>
        </w:rPr>
        <w:t xml:space="preserve">power to obtain information about those spreading </w:t>
      </w:r>
      <w:r>
        <w:rPr>
          <w:rFonts w:ascii="Crimson Pro" w:hAnsi="Crimson Pro" w:cstheme="minorHAnsi"/>
          <w:sz w:val="24"/>
          <w:szCs w:val="24"/>
        </w:rPr>
        <w:t xml:space="preserve">it </w:t>
      </w:r>
      <w:r w:rsidRPr="00E376E2">
        <w:rPr>
          <w:rFonts w:ascii="Crimson Pro" w:hAnsi="Crimson Pro" w:cstheme="minorHAnsi"/>
          <w:sz w:val="24"/>
          <w:szCs w:val="24"/>
        </w:rPr>
        <w:t>(e.g., Singapore’s Online Falsehoods and Manipulation Act</w:t>
      </w:r>
      <w:r>
        <w:rPr>
          <w:rFonts w:ascii="Crimson Pro" w:hAnsi="Crimson Pro" w:cstheme="minorHAnsi"/>
          <w:sz w:val="24"/>
          <w:szCs w:val="24"/>
        </w:rPr>
        <w:t xml:space="preserve"> and</w:t>
      </w:r>
      <w:r w:rsidRPr="00E376E2">
        <w:rPr>
          <w:rFonts w:ascii="Crimson Pro" w:hAnsi="Crimson Pro" w:cstheme="minorHAnsi"/>
          <w:sz w:val="24"/>
          <w:szCs w:val="24"/>
        </w:rPr>
        <w:t xml:space="preserve"> Vietnam’s Cybersecurity Law)</w:t>
      </w:r>
      <w:r>
        <w:rPr>
          <w:rFonts w:ascii="Crimson Pro" w:hAnsi="Crimson Pro" w:cstheme="minorHAnsi"/>
          <w:sz w:val="24"/>
          <w:szCs w:val="24"/>
        </w:rPr>
        <w:t xml:space="preserve">. Governments </w:t>
      </w:r>
      <w:r w:rsidRPr="009D17E4">
        <w:rPr>
          <w:rFonts w:ascii="Crimson Pro" w:hAnsi="Crimson Pro" w:cstheme="minorHAnsi"/>
          <w:sz w:val="24"/>
          <w:szCs w:val="24"/>
        </w:rPr>
        <w:t>(e.g., South Korea)</w:t>
      </w:r>
      <w:r>
        <w:rPr>
          <w:rFonts w:ascii="Crimson Pro" w:hAnsi="Crimson Pro" w:cstheme="minorHAnsi"/>
          <w:sz w:val="24"/>
          <w:szCs w:val="24"/>
        </w:rPr>
        <w:t xml:space="preserve"> have also </w:t>
      </w:r>
      <w:r w:rsidRPr="00E376E2">
        <w:rPr>
          <w:rFonts w:ascii="Crimson Pro" w:hAnsi="Crimson Pro" w:cstheme="minorHAnsi"/>
          <w:sz w:val="24"/>
          <w:szCs w:val="24"/>
        </w:rPr>
        <w:t>establis</w:t>
      </w:r>
      <w:r>
        <w:rPr>
          <w:rFonts w:ascii="Crimson Pro" w:hAnsi="Crimson Pro" w:cstheme="minorHAnsi"/>
          <w:sz w:val="24"/>
          <w:szCs w:val="24"/>
        </w:rPr>
        <w:t>hed</w:t>
      </w:r>
      <w:r w:rsidRPr="00E376E2">
        <w:rPr>
          <w:rFonts w:ascii="Crimson Pro" w:hAnsi="Crimson Pro" w:cstheme="minorHAnsi"/>
          <w:sz w:val="24"/>
          <w:szCs w:val="24"/>
        </w:rPr>
        <w:t xml:space="preserve"> special units to combat disinformation and </w:t>
      </w:r>
      <w:r>
        <w:rPr>
          <w:rFonts w:ascii="Crimson Pro" w:hAnsi="Crimson Pro" w:cstheme="minorHAnsi"/>
          <w:sz w:val="24"/>
          <w:szCs w:val="24"/>
        </w:rPr>
        <w:t xml:space="preserve">developed </w:t>
      </w:r>
      <w:r w:rsidRPr="00E376E2">
        <w:rPr>
          <w:rFonts w:ascii="Crimson Pro" w:hAnsi="Crimson Pro" w:cstheme="minorHAnsi"/>
          <w:sz w:val="24"/>
          <w:szCs w:val="24"/>
        </w:rPr>
        <w:t>guidance for technology companies and social media platforms to moderate and remove false content in the name of mitigating harm and ensuring public safety and well-being.</w:t>
      </w:r>
      <w:r w:rsidRPr="00E376E2">
        <w:rPr>
          <w:rStyle w:val="FootnoteReference"/>
          <w:rFonts w:ascii="Crimson Pro" w:hAnsi="Crimson Pro" w:cstheme="minorHAnsi"/>
          <w:sz w:val="24"/>
          <w:szCs w:val="24"/>
        </w:rPr>
        <w:footnoteReference w:id="12"/>
      </w:r>
      <w:r w:rsidRPr="00E376E2">
        <w:rPr>
          <w:rFonts w:ascii="Crimson Pro" w:hAnsi="Crimson Pro" w:cstheme="minorHAnsi"/>
          <w:sz w:val="24"/>
          <w:szCs w:val="24"/>
        </w:rPr>
        <w:t xml:space="preserve"> In addition, social media companies have introduced content moderation policies in cooperation with governments and health authorities to elevate authoritative information about COVID-19.</w:t>
      </w:r>
    </w:p>
    <w:p w14:paraId="44EB00D5" w14:textId="71FE29B7" w:rsidR="00E376E2" w:rsidRPr="00DD0632" w:rsidRDefault="00A2326C" w:rsidP="003A1A91">
      <w:pPr>
        <w:rPr>
          <w:rFonts w:ascii="Crimson Pro" w:hAnsi="Crimson Pro" w:cstheme="minorHAnsi"/>
          <w:sz w:val="24"/>
          <w:szCs w:val="24"/>
        </w:rPr>
      </w:pPr>
      <w:r>
        <w:rPr>
          <w:rFonts w:ascii="Crimson Pro" w:hAnsi="Crimson Pro" w:cstheme="minorHAnsi"/>
          <w:sz w:val="24"/>
          <w:szCs w:val="24"/>
        </w:rPr>
        <w:t>S</w:t>
      </w:r>
      <w:r w:rsidRPr="00E376E2">
        <w:rPr>
          <w:rFonts w:ascii="Crimson Pro" w:hAnsi="Crimson Pro" w:cstheme="minorHAnsi"/>
          <w:sz w:val="24"/>
          <w:szCs w:val="24"/>
        </w:rPr>
        <w:t>uch regulation raises concerns of freedom of the press and expression, personal privacy, and the appropriate level of government responsiveness in a media environment flooded with false information. Furthermore, appropriately classifying misinformation and disinformation is not necessarily objective or straightforward</w:t>
      </w:r>
      <w:r>
        <w:rPr>
          <w:rFonts w:ascii="Crimson Pro" w:hAnsi="Crimson Pro" w:cstheme="minorHAnsi"/>
          <w:sz w:val="24"/>
          <w:szCs w:val="24"/>
        </w:rPr>
        <w:t>,</w:t>
      </w:r>
      <w:r w:rsidRPr="00E376E2">
        <w:rPr>
          <w:rFonts w:ascii="Crimson Pro" w:hAnsi="Crimson Pro" w:cstheme="minorHAnsi"/>
          <w:sz w:val="24"/>
          <w:szCs w:val="24"/>
        </w:rPr>
        <w:t xml:space="preserve"> requir</w:t>
      </w:r>
      <w:r>
        <w:rPr>
          <w:rFonts w:ascii="Crimson Pro" w:hAnsi="Crimson Pro" w:cstheme="minorHAnsi"/>
          <w:sz w:val="24"/>
          <w:szCs w:val="24"/>
        </w:rPr>
        <w:t>ing</w:t>
      </w:r>
      <w:r w:rsidRPr="00E376E2">
        <w:rPr>
          <w:rFonts w:ascii="Crimson Pro" w:hAnsi="Crimson Pro" w:cstheme="minorHAnsi"/>
          <w:sz w:val="24"/>
          <w:szCs w:val="24"/>
        </w:rPr>
        <w:t xml:space="preserve"> consensus on the definition of “harm” and how to formulate policies (</w:t>
      </w:r>
      <w:r>
        <w:rPr>
          <w:rFonts w:ascii="Crimson Pro" w:hAnsi="Crimson Pro" w:cstheme="minorHAnsi"/>
          <w:sz w:val="24"/>
          <w:szCs w:val="24"/>
        </w:rPr>
        <w:t xml:space="preserve">or algorithms, </w:t>
      </w:r>
      <w:r w:rsidRPr="00E376E2">
        <w:rPr>
          <w:rFonts w:ascii="Crimson Pro" w:hAnsi="Crimson Pro" w:cstheme="minorHAnsi"/>
          <w:sz w:val="24"/>
          <w:szCs w:val="24"/>
        </w:rPr>
        <w:t>in the case of social media platforms) to minimize harm, especially when scientific understanding about a public health threat is quickly changing.</w:t>
      </w:r>
      <w:r w:rsidRPr="00E376E2">
        <w:rPr>
          <w:rFonts w:ascii="Crimson Pro" w:hAnsi="Crimson Pro" w:cstheme="minorHAnsi"/>
          <w:sz w:val="24"/>
          <w:szCs w:val="24"/>
          <w:vertAlign w:val="superscript"/>
        </w:rPr>
        <w:footnoteReference w:id="13"/>
      </w:r>
      <w:r w:rsidRPr="00E376E2">
        <w:rPr>
          <w:rFonts w:ascii="Crimson Pro" w:hAnsi="Crimson Pro" w:cstheme="minorHAnsi"/>
          <w:sz w:val="24"/>
          <w:szCs w:val="24"/>
        </w:rPr>
        <w:t xml:space="preserve"> </w:t>
      </w:r>
      <w:r w:rsidR="003A1A91" w:rsidRPr="00E376E2">
        <w:rPr>
          <w:rFonts w:ascii="Crimson Pro" w:hAnsi="Crimson Pro" w:cstheme="minorHAnsi"/>
          <w:sz w:val="24"/>
          <w:szCs w:val="24"/>
        </w:rPr>
        <w:t>For governments aiming to increase vaccine coverage—in either emergency or nonemergency settings—achieving the right balance of regulation</w:t>
      </w:r>
      <w:r w:rsidR="00DD0632">
        <w:rPr>
          <w:rFonts w:ascii="Crimson Pro" w:hAnsi="Crimson Pro" w:cstheme="minorHAnsi"/>
          <w:sz w:val="24"/>
          <w:szCs w:val="24"/>
        </w:rPr>
        <w:t xml:space="preserve"> and</w:t>
      </w:r>
      <w:r w:rsidR="003A1A91" w:rsidRPr="00E376E2">
        <w:rPr>
          <w:rFonts w:ascii="Crimson Pro" w:hAnsi="Crimson Pro" w:cstheme="minorHAnsi"/>
          <w:sz w:val="24"/>
          <w:szCs w:val="24"/>
        </w:rPr>
        <w:t xml:space="preserve"> transparency</w:t>
      </w:r>
      <w:r w:rsidR="00DD0632">
        <w:rPr>
          <w:rFonts w:ascii="Crimson Pro" w:hAnsi="Crimson Pro" w:cstheme="minorHAnsi"/>
          <w:sz w:val="24"/>
          <w:szCs w:val="24"/>
        </w:rPr>
        <w:t xml:space="preserve"> is crucial </w:t>
      </w:r>
      <w:r w:rsidR="003A1A91" w:rsidRPr="00E376E2">
        <w:rPr>
          <w:rFonts w:ascii="Crimson Pro" w:hAnsi="Crimson Pro" w:cstheme="minorHAnsi"/>
          <w:sz w:val="24"/>
          <w:szCs w:val="24"/>
        </w:rPr>
        <w:t xml:space="preserve">to maintain public trust and encourage vaccination. </w:t>
      </w:r>
    </w:p>
    <w:p w14:paraId="4FA8358E" w14:textId="370D1E5F" w:rsidR="003A1A91" w:rsidRPr="00F935CA" w:rsidRDefault="00DD0632" w:rsidP="003A1A91">
      <w:pPr>
        <w:rPr>
          <w:rFonts w:ascii="Crimson Pro" w:hAnsi="Crimson Pro" w:cstheme="minorHAnsi"/>
          <w:i/>
          <w:iCs/>
          <w:sz w:val="24"/>
          <w:szCs w:val="24"/>
        </w:rPr>
      </w:pPr>
      <w:r>
        <w:rPr>
          <w:rFonts w:ascii="Crimson Pro" w:hAnsi="Crimson Pro" w:cstheme="minorHAnsi"/>
          <w:i/>
          <w:iCs/>
          <w:sz w:val="24"/>
          <w:szCs w:val="24"/>
        </w:rPr>
        <w:t>I</w:t>
      </w:r>
      <w:r w:rsidR="003A1A91" w:rsidRPr="00F935CA">
        <w:rPr>
          <w:rFonts w:ascii="Crimson Pro" w:hAnsi="Crimson Pro" w:cstheme="minorHAnsi"/>
          <w:i/>
          <w:iCs/>
          <w:sz w:val="24"/>
          <w:szCs w:val="24"/>
        </w:rPr>
        <w:t xml:space="preserve">dentifying best communication practices to </w:t>
      </w:r>
      <w:r w:rsidR="00A10D95">
        <w:rPr>
          <w:rFonts w:ascii="Crimson Pro" w:hAnsi="Crimson Pro" w:cstheme="minorHAnsi"/>
          <w:i/>
          <w:iCs/>
          <w:sz w:val="24"/>
          <w:szCs w:val="24"/>
        </w:rPr>
        <w:t xml:space="preserve">recognize and counter </w:t>
      </w:r>
      <w:r w:rsidR="003A1A91" w:rsidRPr="00F935CA">
        <w:rPr>
          <w:rFonts w:ascii="Crimson Pro" w:hAnsi="Crimson Pro" w:cstheme="minorHAnsi"/>
          <w:i/>
          <w:iCs/>
          <w:sz w:val="24"/>
          <w:szCs w:val="24"/>
        </w:rPr>
        <w:t xml:space="preserve">vaccine </w:t>
      </w:r>
      <w:r w:rsidR="00A10D95">
        <w:rPr>
          <w:rFonts w:ascii="Crimson Pro" w:hAnsi="Crimson Pro" w:cstheme="minorHAnsi"/>
          <w:i/>
          <w:iCs/>
          <w:sz w:val="24"/>
          <w:szCs w:val="24"/>
        </w:rPr>
        <w:t>hesitancy</w:t>
      </w:r>
    </w:p>
    <w:p w14:paraId="3A490937" w14:textId="07B04CB6" w:rsidR="004E514B" w:rsidRDefault="003A1A91" w:rsidP="003A1A91">
      <w:pPr>
        <w:rPr>
          <w:rFonts w:ascii="Crimson Pro" w:hAnsi="Crimson Pro" w:cstheme="minorHAnsi"/>
          <w:sz w:val="24"/>
          <w:szCs w:val="24"/>
        </w:rPr>
      </w:pPr>
      <w:r w:rsidRPr="00027CBB">
        <w:rPr>
          <w:rFonts w:ascii="Crimson Pro" w:hAnsi="Crimson Pro" w:cstheme="minorHAnsi"/>
          <w:sz w:val="24"/>
          <w:szCs w:val="24"/>
        </w:rPr>
        <w:t xml:space="preserve">As the third year of the COVID-19 pandemic concludes, </w:t>
      </w:r>
      <w:r w:rsidR="004572BF" w:rsidRPr="00027CBB">
        <w:rPr>
          <w:rFonts w:ascii="Crimson Pro" w:hAnsi="Crimson Pro" w:cstheme="minorHAnsi"/>
          <w:sz w:val="24"/>
          <w:szCs w:val="24"/>
        </w:rPr>
        <w:t xml:space="preserve">learning from the pandemic and identifying </w:t>
      </w:r>
      <w:r w:rsidRPr="00027CBB">
        <w:rPr>
          <w:rFonts w:ascii="Crimson Pro" w:hAnsi="Crimson Pro" w:cstheme="minorHAnsi"/>
          <w:sz w:val="24"/>
          <w:szCs w:val="24"/>
        </w:rPr>
        <w:t xml:space="preserve">best practices in governance and </w:t>
      </w:r>
      <w:r w:rsidR="004572BF" w:rsidRPr="00027CBB">
        <w:rPr>
          <w:rFonts w:ascii="Crimson Pro" w:hAnsi="Crimson Pro" w:cstheme="minorHAnsi"/>
          <w:sz w:val="24"/>
          <w:szCs w:val="24"/>
        </w:rPr>
        <w:t xml:space="preserve">communication </w:t>
      </w:r>
      <w:r w:rsidR="00333C7F">
        <w:rPr>
          <w:rFonts w:ascii="Crimson Pro" w:hAnsi="Crimson Pro" w:cstheme="minorHAnsi"/>
          <w:sz w:val="24"/>
          <w:szCs w:val="24"/>
        </w:rPr>
        <w:t xml:space="preserve">for the world </w:t>
      </w:r>
      <w:r w:rsidR="00DD0632">
        <w:rPr>
          <w:rFonts w:ascii="Crimson Pro" w:hAnsi="Crimson Pro" w:cstheme="minorHAnsi"/>
          <w:sz w:val="24"/>
          <w:szCs w:val="24"/>
        </w:rPr>
        <w:t>are</w:t>
      </w:r>
      <w:r w:rsidR="00027CBB" w:rsidRPr="00027CBB">
        <w:rPr>
          <w:rFonts w:ascii="Crimson Pro" w:hAnsi="Crimson Pro" w:cstheme="minorHAnsi"/>
          <w:sz w:val="24"/>
          <w:szCs w:val="24"/>
        </w:rPr>
        <w:t xml:space="preserve"> crucial. </w:t>
      </w:r>
      <w:r w:rsidRPr="00027CBB">
        <w:rPr>
          <w:rFonts w:ascii="Crimson Pro" w:hAnsi="Crimson Pro" w:cstheme="minorHAnsi"/>
          <w:sz w:val="24"/>
          <w:szCs w:val="24"/>
        </w:rPr>
        <w:t xml:space="preserve">Coordinated and consistent government communication </w:t>
      </w:r>
      <w:r w:rsidR="00027CBB">
        <w:rPr>
          <w:rFonts w:ascii="Crimson Pro" w:hAnsi="Crimson Pro" w:cstheme="minorHAnsi"/>
          <w:sz w:val="24"/>
          <w:szCs w:val="24"/>
        </w:rPr>
        <w:t>plays a pivotal role in promoting</w:t>
      </w:r>
      <w:r w:rsidRPr="00027CBB">
        <w:rPr>
          <w:rFonts w:ascii="Crimson Pro" w:hAnsi="Crimson Pro" w:cstheme="minorHAnsi"/>
          <w:sz w:val="24"/>
          <w:szCs w:val="24"/>
        </w:rPr>
        <w:t xml:space="preserve"> routine immunization</w:t>
      </w:r>
      <w:r w:rsidR="00DD0632">
        <w:rPr>
          <w:rFonts w:ascii="Crimson Pro" w:hAnsi="Crimson Pro" w:cstheme="minorHAnsi"/>
          <w:sz w:val="24"/>
          <w:szCs w:val="24"/>
        </w:rPr>
        <w:t>,</w:t>
      </w:r>
      <w:r w:rsidR="000306CE">
        <w:rPr>
          <w:rFonts w:ascii="Crimson Pro" w:hAnsi="Crimson Pro" w:cstheme="minorHAnsi"/>
          <w:sz w:val="24"/>
          <w:szCs w:val="24"/>
        </w:rPr>
        <w:t xml:space="preserve"> even</w:t>
      </w:r>
      <w:r w:rsidRPr="00027CBB">
        <w:rPr>
          <w:rFonts w:ascii="Crimson Pro" w:hAnsi="Crimson Pro" w:cstheme="minorHAnsi"/>
          <w:sz w:val="24"/>
          <w:szCs w:val="24"/>
        </w:rPr>
        <w:t xml:space="preserve"> for diseases that do not routinely make the news. In addition, </w:t>
      </w:r>
      <w:r w:rsidR="00027CBB">
        <w:rPr>
          <w:rFonts w:ascii="Crimson Pro" w:hAnsi="Crimson Pro" w:cstheme="minorHAnsi"/>
          <w:sz w:val="24"/>
          <w:szCs w:val="24"/>
        </w:rPr>
        <w:t xml:space="preserve">as the </w:t>
      </w:r>
      <w:r w:rsidR="00A10D95">
        <w:rPr>
          <w:rFonts w:ascii="Crimson Pro" w:hAnsi="Crimson Pro" w:cstheme="minorHAnsi"/>
          <w:sz w:val="24"/>
          <w:szCs w:val="24"/>
        </w:rPr>
        <w:t>SARS-CoV-2</w:t>
      </w:r>
      <w:r w:rsidR="00027CBB">
        <w:rPr>
          <w:rFonts w:ascii="Crimson Pro" w:hAnsi="Crimson Pro" w:cstheme="minorHAnsi"/>
          <w:sz w:val="24"/>
          <w:szCs w:val="24"/>
        </w:rPr>
        <w:t xml:space="preserve"> virus continues to evolve and </w:t>
      </w:r>
      <w:r w:rsidRPr="00027CBB">
        <w:rPr>
          <w:rFonts w:ascii="Crimson Pro" w:hAnsi="Crimson Pro" w:cstheme="minorHAnsi"/>
          <w:sz w:val="24"/>
          <w:szCs w:val="24"/>
        </w:rPr>
        <w:t xml:space="preserve">COVID-19 becomes perceived as less of a health threat over time, ensuring high vaccine coverage will become more difficult. </w:t>
      </w:r>
      <w:r w:rsidR="00DD0632">
        <w:rPr>
          <w:rFonts w:ascii="Crimson Pro" w:hAnsi="Crimson Pro" w:cstheme="minorHAnsi"/>
          <w:sz w:val="24"/>
          <w:szCs w:val="24"/>
        </w:rPr>
        <w:t>T</w:t>
      </w:r>
      <w:r w:rsidRPr="00027CBB">
        <w:rPr>
          <w:rFonts w:ascii="Crimson Pro" w:hAnsi="Crimson Pro" w:cstheme="minorHAnsi"/>
          <w:sz w:val="24"/>
          <w:szCs w:val="24"/>
        </w:rPr>
        <w:t xml:space="preserve">hese communication lessons </w:t>
      </w:r>
      <w:r w:rsidR="00027CBB">
        <w:rPr>
          <w:rFonts w:ascii="Crimson Pro" w:hAnsi="Crimson Pro" w:cstheme="minorHAnsi"/>
          <w:sz w:val="24"/>
          <w:szCs w:val="24"/>
        </w:rPr>
        <w:t>are not limited to</w:t>
      </w:r>
      <w:r w:rsidRPr="00027CBB">
        <w:rPr>
          <w:rFonts w:ascii="Crimson Pro" w:hAnsi="Crimson Pro" w:cstheme="minorHAnsi"/>
          <w:sz w:val="24"/>
          <w:szCs w:val="24"/>
        </w:rPr>
        <w:t xml:space="preserve"> public health but </w:t>
      </w:r>
      <w:r w:rsidR="00027CBB">
        <w:rPr>
          <w:rFonts w:ascii="Crimson Pro" w:hAnsi="Crimson Pro" w:cstheme="minorHAnsi"/>
          <w:sz w:val="24"/>
          <w:szCs w:val="24"/>
        </w:rPr>
        <w:t xml:space="preserve">extend to </w:t>
      </w:r>
      <w:r w:rsidRPr="00027CBB">
        <w:rPr>
          <w:rFonts w:ascii="Crimson Pro" w:hAnsi="Crimson Pro" w:cstheme="minorHAnsi"/>
          <w:sz w:val="24"/>
          <w:szCs w:val="24"/>
        </w:rPr>
        <w:t xml:space="preserve">economic, environmental, and social challenges </w:t>
      </w:r>
      <w:r w:rsidR="00333C7F">
        <w:rPr>
          <w:rFonts w:ascii="Crimson Pro" w:hAnsi="Crimson Pro" w:cstheme="minorHAnsi"/>
          <w:sz w:val="24"/>
          <w:szCs w:val="24"/>
        </w:rPr>
        <w:t xml:space="preserve">that are </w:t>
      </w:r>
      <w:r w:rsidR="00027CBB">
        <w:rPr>
          <w:rFonts w:ascii="Crimson Pro" w:hAnsi="Crimson Pro" w:cstheme="minorHAnsi"/>
          <w:sz w:val="24"/>
          <w:szCs w:val="24"/>
        </w:rPr>
        <w:t>prone to the rapid spread of</w:t>
      </w:r>
      <w:r w:rsidRPr="00027CBB">
        <w:rPr>
          <w:rFonts w:ascii="Crimson Pro" w:hAnsi="Crimson Pro" w:cstheme="minorHAnsi"/>
          <w:sz w:val="24"/>
          <w:szCs w:val="24"/>
        </w:rPr>
        <w:t xml:space="preserve"> misinformation. Looking toward the future of generative artificial intelligence and </w:t>
      </w:r>
      <w:proofErr w:type="spellStart"/>
      <w:r w:rsidRPr="00027CBB">
        <w:rPr>
          <w:rFonts w:ascii="Crimson Pro" w:hAnsi="Crimson Pro" w:cstheme="minorHAnsi"/>
          <w:sz w:val="24"/>
          <w:szCs w:val="24"/>
        </w:rPr>
        <w:t>deepfakes</w:t>
      </w:r>
      <w:proofErr w:type="spellEnd"/>
      <w:r w:rsidRPr="00027CBB">
        <w:rPr>
          <w:rFonts w:ascii="Crimson Pro" w:hAnsi="Crimson Pro" w:cstheme="minorHAnsi"/>
          <w:sz w:val="24"/>
          <w:szCs w:val="24"/>
        </w:rPr>
        <w:t>, maintaining public trust in institutions that can counter misinformation and disinformation will become more important than ever before.</w:t>
      </w:r>
      <w:r w:rsidRPr="00F935CA">
        <w:rPr>
          <w:rFonts w:ascii="Crimson Pro" w:hAnsi="Crimson Pro" w:cstheme="minorHAnsi"/>
          <w:sz w:val="24"/>
          <w:szCs w:val="24"/>
        </w:rPr>
        <w:t xml:space="preserve"> </w:t>
      </w:r>
    </w:p>
    <w:p w14:paraId="78EF1973" w14:textId="117BA661" w:rsidR="004E514B" w:rsidRDefault="004E514B">
      <w:pPr>
        <w:rPr>
          <w:rFonts w:ascii="Crimson Pro" w:hAnsi="Crimson Pro" w:cstheme="minorHAnsi"/>
          <w:sz w:val="24"/>
          <w:szCs w:val="24"/>
        </w:rPr>
      </w:pPr>
      <w:r>
        <w:rPr>
          <w:rFonts w:ascii="Crimson Pro" w:hAnsi="Crimson Pro" w:cstheme="minorHAnsi"/>
          <w:sz w:val="24"/>
          <w:szCs w:val="24"/>
        </w:rPr>
        <w:br w:type="page"/>
      </w:r>
    </w:p>
    <w:p w14:paraId="4FAA9CEC" w14:textId="0E89961C" w:rsidR="004E514B" w:rsidRDefault="00BE7D67" w:rsidP="003A1A91">
      <w:pPr>
        <w:rPr>
          <w:rFonts w:ascii="Crimson Pro" w:hAnsi="Crimson Pro" w:cstheme="minorHAnsi"/>
          <w:b/>
          <w:bCs/>
          <w:sz w:val="24"/>
          <w:szCs w:val="24"/>
        </w:rPr>
      </w:pPr>
      <w:r>
        <w:rPr>
          <w:rFonts w:ascii="Crimson Pro" w:hAnsi="Crimson Pro" w:cstheme="minorHAnsi"/>
          <w:b/>
          <w:bCs/>
          <w:sz w:val="24"/>
          <w:szCs w:val="24"/>
        </w:rPr>
        <w:t xml:space="preserve">Additional </w:t>
      </w:r>
      <w:r w:rsidR="00AD472D">
        <w:rPr>
          <w:rFonts w:ascii="Crimson Pro" w:hAnsi="Crimson Pro" w:cstheme="minorHAnsi"/>
          <w:b/>
          <w:bCs/>
          <w:sz w:val="24"/>
          <w:szCs w:val="24"/>
        </w:rPr>
        <w:t>r</w:t>
      </w:r>
      <w:r w:rsidR="004E514B" w:rsidRPr="004E514B">
        <w:rPr>
          <w:rFonts w:ascii="Crimson Pro" w:hAnsi="Crimson Pro" w:cstheme="minorHAnsi"/>
          <w:b/>
          <w:bCs/>
          <w:sz w:val="24"/>
          <w:szCs w:val="24"/>
        </w:rPr>
        <w:t>ecommended resources</w:t>
      </w:r>
      <w:r w:rsidR="00AD472D">
        <w:rPr>
          <w:rFonts w:ascii="Crimson Pro" w:hAnsi="Crimson Pro" w:cstheme="minorHAnsi"/>
          <w:b/>
          <w:bCs/>
          <w:sz w:val="24"/>
          <w:szCs w:val="24"/>
        </w:rPr>
        <w:t xml:space="preserve"> on public health, vaccine hesitancy, health communication, misinformation, and disinformation </w:t>
      </w:r>
    </w:p>
    <w:p w14:paraId="2E13BAA2" w14:textId="3E23804A" w:rsidR="0063500D" w:rsidRPr="0063500D" w:rsidRDefault="0063500D" w:rsidP="00AD472D">
      <w:pPr>
        <w:ind w:left="360" w:hanging="360"/>
        <w:rPr>
          <w:rFonts w:ascii="Crimson Pro" w:hAnsi="Crimson Pro" w:cstheme="minorHAnsi"/>
          <w:sz w:val="24"/>
          <w:szCs w:val="24"/>
        </w:rPr>
      </w:pPr>
      <w:proofErr w:type="spellStart"/>
      <w:r>
        <w:rPr>
          <w:rFonts w:ascii="Crimson Pro" w:hAnsi="Crimson Pro" w:cstheme="minorHAnsi"/>
          <w:sz w:val="24"/>
          <w:szCs w:val="24"/>
        </w:rPr>
        <w:t>Anakpo</w:t>
      </w:r>
      <w:proofErr w:type="spellEnd"/>
      <w:r>
        <w:rPr>
          <w:rFonts w:ascii="Crimson Pro" w:hAnsi="Crimson Pro" w:cstheme="minorHAnsi"/>
          <w:sz w:val="24"/>
          <w:szCs w:val="24"/>
        </w:rPr>
        <w:t xml:space="preserve">, </w:t>
      </w:r>
      <w:proofErr w:type="spellStart"/>
      <w:r>
        <w:rPr>
          <w:rFonts w:ascii="Crimson Pro" w:hAnsi="Crimson Pro" w:cstheme="minorHAnsi"/>
          <w:sz w:val="24"/>
          <w:szCs w:val="24"/>
        </w:rPr>
        <w:t>Godfred</w:t>
      </w:r>
      <w:proofErr w:type="spellEnd"/>
      <w:r>
        <w:rPr>
          <w:rFonts w:ascii="Crimson Pro" w:hAnsi="Crimson Pro" w:cstheme="minorHAnsi"/>
          <w:sz w:val="24"/>
          <w:szCs w:val="24"/>
        </w:rPr>
        <w:t xml:space="preserve"> and </w:t>
      </w:r>
      <w:proofErr w:type="spellStart"/>
      <w:r>
        <w:rPr>
          <w:rFonts w:ascii="Crimson Pro" w:hAnsi="Crimson Pro" w:cstheme="minorHAnsi"/>
          <w:sz w:val="24"/>
          <w:szCs w:val="24"/>
        </w:rPr>
        <w:t>Syden</w:t>
      </w:r>
      <w:proofErr w:type="spellEnd"/>
      <w:r>
        <w:rPr>
          <w:rFonts w:ascii="Crimson Pro" w:hAnsi="Crimson Pro" w:cstheme="minorHAnsi"/>
          <w:sz w:val="24"/>
          <w:szCs w:val="24"/>
        </w:rPr>
        <w:t xml:space="preserve"> </w:t>
      </w:r>
      <w:proofErr w:type="spellStart"/>
      <w:r>
        <w:rPr>
          <w:rFonts w:ascii="Crimson Pro" w:hAnsi="Crimson Pro" w:cstheme="minorHAnsi"/>
          <w:sz w:val="24"/>
          <w:szCs w:val="24"/>
        </w:rPr>
        <w:t>Mishi</w:t>
      </w:r>
      <w:proofErr w:type="spellEnd"/>
      <w:r>
        <w:rPr>
          <w:rFonts w:ascii="Crimson Pro" w:hAnsi="Crimson Pro" w:cstheme="minorHAnsi"/>
          <w:sz w:val="24"/>
          <w:szCs w:val="24"/>
        </w:rPr>
        <w:t xml:space="preserve">. “Hesitancy of COVID-19 Vaccines: Rapid systematic review of the measurement, predictors, and preventive strategies.” </w:t>
      </w:r>
      <w:r>
        <w:rPr>
          <w:rFonts w:ascii="Crimson Pro" w:hAnsi="Crimson Pro" w:cstheme="minorHAnsi"/>
          <w:i/>
          <w:iCs/>
          <w:sz w:val="24"/>
          <w:szCs w:val="24"/>
        </w:rPr>
        <w:t xml:space="preserve">Human Vaccines and </w:t>
      </w:r>
      <w:proofErr w:type="spellStart"/>
      <w:r>
        <w:rPr>
          <w:rFonts w:ascii="Crimson Pro" w:hAnsi="Crimson Pro" w:cstheme="minorHAnsi"/>
          <w:i/>
          <w:iCs/>
          <w:sz w:val="24"/>
          <w:szCs w:val="24"/>
        </w:rPr>
        <w:t>Immunotherapeutics</w:t>
      </w:r>
      <w:proofErr w:type="spellEnd"/>
      <w:r>
        <w:rPr>
          <w:rFonts w:ascii="Crimson Pro" w:hAnsi="Crimson Pro" w:cstheme="minorHAnsi"/>
          <w:i/>
          <w:iCs/>
          <w:sz w:val="24"/>
          <w:szCs w:val="24"/>
        </w:rPr>
        <w:t xml:space="preserve"> </w:t>
      </w:r>
      <w:r>
        <w:rPr>
          <w:rFonts w:ascii="Crimson Pro" w:hAnsi="Crimson Pro" w:cstheme="minorHAnsi"/>
          <w:sz w:val="24"/>
          <w:szCs w:val="24"/>
        </w:rPr>
        <w:t xml:space="preserve">18 no. 5 (2022): </w:t>
      </w:r>
      <w:hyperlink r:id="rId8" w:history="1">
        <w:r w:rsidRPr="00EC056D">
          <w:rPr>
            <w:rStyle w:val="Hyperlink"/>
            <w:rFonts w:ascii="Crimson Pro" w:hAnsi="Crimson Pro" w:cstheme="minorHAnsi"/>
            <w:sz w:val="24"/>
            <w:szCs w:val="24"/>
          </w:rPr>
          <w:t>https://doi.org/10.1080/21645515.2022.2074716</w:t>
        </w:r>
      </w:hyperlink>
      <w:r>
        <w:rPr>
          <w:rFonts w:ascii="Crimson Pro" w:hAnsi="Crimson Pro" w:cstheme="minorHAnsi"/>
          <w:sz w:val="24"/>
          <w:szCs w:val="24"/>
        </w:rPr>
        <w:t xml:space="preserve">. </w:t>
      </w:r>
    </w:p>
    <w:p w14:paraId="5004A28B" w14:textId="1CDB8F43" w:rsidR="0044751A" w:rsidRPr="0044751A" w:rsidRDefault="0044751A" w:rsidP="00AD472D">
      <w:pPr>
        <w:ind w:left="360" w:hanging="360"/>
        <w:rPr>
          <w:rFonts w:ascii="Crimson Pro" w:hAnsi="Crimson Pro" w:cstheme="minorHAnsi"/>
          <w:sz w:val="24"/>
          <w:szCs w:val="24"/>
        </w:rPr>
      </w:pPr>
      <w:proofErr w:type="spellStart"/>
      <w:r w:rsidRPr="0044751A">
        <w:rPr>
          <w:rFonts w:ascii="Crimson Pro" w:hAnsi="Crimson Pro" w:cstheme="minorHAnsi"/>
          <w:sz w:val="24"/>
          <w:szCs w:val="24"/>
        </w:rPr>
        <w:t>Bussink-Voorend</w:t>
      </w:r>
      <w:proofErr w:type="spellEnd"/>
      <w:r w:rsidRPr="0044751A">
        <w:rPr>
          <w:rFonts w:ascii="Crimson Pro" w:hAnsi="Crimson Pro" w:cstheme="minorHAnsi"/>
          <w:sz w:val="24"/>
          <w:szCs w:val="24"/>
        </w:rPr>
        <w:t xml:space="preserve">, Daphne, Jeannine L.A </w:t>
      </w:r>
      <w:proofErr w:type="spellStart"/>
      <w:r w:rsidRPr="0044751A">
        <w:rPr>
          <w:rFonts w:ascii="Crimson Pro" w:hAnsi="Crimson Pro" w:cstheme="minorHAnsi"/>
          <w:sz w:val="24"/>
          <w:szCs w:val="24"/>
        </w:rPr>
        <w:t>Hautvast</w:t>
      </w:r>
      <w:proofErr w:type="spellEnd"/>
      <w:r w:rsidRPr="0044751A">
        <w:rPr>
          <w:rFonts w:ascii="Crimson Pro" w:hAnsi="Crimson Pro" w:cstheme="minorHAnsi"/>
          <w:sz w:val="24"/>
          <w:szCs w:val="24"/>
        </w:rPr>
        <w:t xml:space="preserve">, Lisa </w:t>
      </w:r>
      <w:proofErr w:type="spellStart"/>
      <w:r w:rsidRPr="0044751A">
        <w:rPr>
          <w:rFonts w:ascii="Crimson Pro" w:hAnsi="Crimson Pro" w:cstheme="minorHAnsi"/>
          <w:sz w:val="24"/>
          <w:szCs w:val="24"/>
        </w:rPr>
        <w:t>Vandeberg</w:t>
      </w:r>
      <w:proofErr w:type="spellEnd"/>
      <w:r w:rsidRPr="0044751A">
        <w:rPr>
          <w:rFonts w:ascii="Crimson Pro" w:hAnsi="Crimson Pro" w:cstheme="minorHAnsi"/>
          <w:sz w:val="24"/>
          <w:szCs w:val="24"/>
        </w:rPr>
        <w:t xml:space="preserve">, Olga Visser, and </w:t>
      </w:r>
      <w:proofErr w:type="spellStart"/>
      <w:r w:rsidRPr="0044751A">
        <w:rPr>
          <w:rFonts w:ascii="Crimson Pro" w:hAnsi="Crimson Pro" w:cstheme="minorHAnsi"/>
          <w:sz w:val="24"/>
          <w:szCs w:val="24"/>
        </w:rPr>
        <w:t>Marlies</w:t>
      </w:r>
      <w:proofErr w:type="spellEnd"/>
      <w:r w:rsidRPr="0044751A">
        <w:rPr>
          <w:rFonts w:ascii="Crimson Pro" w:hAnsi="Crimson Pro" w:cstheme="minorHAnsi"/>
          <w:sz w:val="24"/>
          <w:szCs w:val="24"/>
        </w:rPr>
        <w:t xml:space="preserve"> E.J.L. </w:t>
      </w:r>
      <w:proofErr w:type="spellStart"/>
      <w:r w:rsidRPr="0044751A">
        <w:rPr>
          <w:rFonts w:ascii="Crimson Pro" w:hAnsi="Crimson Pro" w:cstheme="minorHAnsi"/>
          <w:sz w:val="24"/>
          <w:szCs w:val="24"/>
        </w:rPr>
        <w:t>Hulscher</w:t>
      </w:r>
      <w:proofErr w:type="spellEnd"/>
      <w:r w:rsidRPr="0044751A">
        <w:rPr>
          <w:rFonts w:ascii="Crimson Pro" w:hAnsi="Crimson Pro" w:cstheme="minorHAnsi"/>
          <w:sz w:val="24"/>
          <w:szCs w:val="24"/>
        </w:rPr>
        <w:t xml:space="preserve">. “A systematic literature review to clarify the concept of vaccine hesitancy” </w:t>
      </w:r>
      <w:r w:rsidRPr="0044751A">
        <w:rPr>
          <w:rFonts w:ascii="Crimson Pro" w:hAnsi="Crimson Pro" w:cstheme="minorHAnsi"/>
          <w:i/>
          <w:iCs/>
          <w:sz w:val="24"/>
          <w:szCs w:val="24"/>
        </w:rPr>
        <w:t>Nature Human Behavior</w:t>
      </w:r>
      <w:r w:rsidRPr="0044751A">
        <w:rPr>
          <w:rFonts w:ascii="Crimson Pro" w:hAnsi="Crimson Pro" w:cstheme="minorHAnsi"/>
          <w:sz w:val="24"/>
          <w:szCs w:val="24"/>
        </w:rPr>
        <w:t xml:space="preserve"> 6 (August 2022): 1634-1648. </w:t>
      </w:r>
      <w:hyperlink r:id="rId9" w:history="1">
        <w:r w:rsidRPr="0044751A">
          <w:rPr>
            <w:rStyle w:val="Hyperlink"/>
            <w:rFonts w:ascii="Crimson Pro" w:hAnsi="Crimson Pro" w:cstheme="minorHAnsi"/>
            <w:sz w:val="24"/>
            <w:szCs w:val="24"/>
          </w:rPr>
          <w:t>https://doi.org/10.1038/s41562-022-01431-6</w:t>
        </w:r>
      </w:hyperlink>
      <w:r w:rsidRPr="0044751A">
        <w:rPr>
          <w:rFonts w:ascii="Crimson Pro" w:hAnsi="Crimson Pro" w:cstheme="minorHAnsi"/>
          <w:sz w:val="24"/>
          <w:szCs w:val="24"/>
        </w:rPr>
        <w:t xml:space="preserve">. </w:t>
      </w:r>
    </w:p>
    <w:p w14:paraId="0F206DB8" w14:textId="748922C3" w:rsidR="0044751A" w:rsidRPr="005D13EF" w:rsidRDefault="0044751A" w:rsidP="00AD472D">
      <w:pPr>
        <w:ind w:left="360" w:hanging="360"/>
        <w:rPr>
          <w:rFonts w:ascii="Crimson Pro" w:hAnsi="Crimson Pro" w:cstheme="minorHAnsi"/>
          <w:sz w:val="24"/>
          <w:szCs w:val="24"/>
        </w:rPr>
      </w:pPr>
      <w:proofErr w:type="spellStart"/>
      <w:r w:rsidRPr="0044751A">
        <w:rPr>
          <w:rFonts w:ascii="Crimson Pro" w:hAnsi="Crimson Pro" w:cstheme="minorHAnsi"/>
          <w:sz w:val="24"/>
          <w:szCs w:val="24"/>
        </w:rPr>
        <w:t>Cascini</w:t>
      </w:r>
      <w:proofErr w:type="spellEnd"/>
      <w:r>
        <w:rPr>
          <w:rFonts w:ascii="Crimson Pro" w:hAnsi="Crimson Pro" w:cstheme="minorHAnsi"/>
          <w:sz w:val="24"/>
          <w:szCs w:val="24"/>
        </w:rPr>
        <w:t>,</w:t>
      </w:r>
      <w:r w:rsidRPr="0044751A">
        <w:rPr>
          <w:rFonts w:ascii="Crimson Pro" w:hAnsi="Crimson Pro" w:cstheme="minorHAnsi"/>
          <w:sz w:val="24"/>
          <w:szCs w:val="24"/>
        </w:rPr>
        <w:t xml:space="preserve"> Fidelia, Ana </w:t>
      </w:r>
      <w:proofErr w:type="spellStart"/>
      <w:r w:rsidRPr="0044751A">
        <w:rPr>
          <w:rFonts w:ascii="Crimson Pro" w:hAnsi="Crimson Pro" w:cstheme="minorHAnsi"/>
          <w:sz w:val="24"/>
          <w:szCs w:val="24"/>
        </w:rPr>
        <w:t>Pantovic</w:t>
      </w:r>
      <w:proofErr w:type="spellEnd"/>
      <w:r w:rsidRPr="0044751A">
        <w:rPr>
          <w:rFonts w:ascii="Crimson Pro" w:hAnsi="Crimson Pro" w:cstheme="minorHAnsi"/>
          <w:sz w:val="24"/>
          <w:szCs w:val="24"/>
        </w:rPr>
        <w:t>, Yazan Al-</w:t>
      </w:r>
      <w:proofErr w:type="spellStart"/>
      <w:r w:rsidRPr="0044751A">
        <w:rPr>
          <w:rFonts w:ascii="Crimson Pro" w:hAnsi="Crimson Pro" w:cstheme="minorHAnsi"/>
          <w:sz w:val="24"/>
          <w:szCs w:val="24"/>
        </w:rPr>
        <w:t>Ajlouni</w:t>
      </w:r>
      <w:proofErr w:type="spellEnd"/>
      <w:r w:rsidRPr="0044751A">
        <w:rPr>
          <w:rFonts w:ascii="Crimson Pro" w:hAnsi="Crimson Pro" w:cstheme="minorHAnsi"/>
          <w:sz w:val="24"/>
          <w:szCs w:val="24"/>
        </w:rPr>
        <w:t xml:space="preserve">, Giovanna </w:t>
      </w:r>
      <w:proofErr w:type="spellStart"/>
      <w:r w:rsidRPr="0044751A">
        <w:rPr>
          <w:rFonts w:ascii="Crimson Pro" w:hAnsi="Crimson Pro" w:cstheme="minorHAnsi"/>
          <w:sz w:val="24"/>
          <w:szCs w:val="24"/>
        </w:rPr>
        <w:t>Failla</w:t>
      </w:r>
      <w:proofErr w:type="spellEnd"/>
      <w:r w:rsidRPr="0044751A">
        <w:rPr>
          <w:rFonts w:ascii="Crimson Pro" w:hAnsi="Crimson Pro" w:cstheme="minorHAnsi"/>
          <w:sz w:val="24"/>
          <w:szCs w:val="24"/>
        </w:rPr>
        <w:t xml:space="preserve">, </w:t>
      </w:r>
      <w:r>
        <w:rPr>
          <w:rFonts w:ascii="Crimson Pro" w:hAnsi="Crimson Pro" w:cstheme="minorHAnsi"/>
          <w:sz w:val="24"/>
          <w:szCs w:val="24"/>
        </w:rPr>
        <w:t xml:space="preserve">and </w:t>
      </w:r>
      <w:r w:rsidRPr="0044751A">
        <w:rPr>
          <w:rFonts w:ascii="Crimson Pro" w:hAnsi="Crimson Pro" w:cstheme="minorHAnsi"/>
          <w:sz w:val="24"/>
          <w:szCs w:val="24"/>
        </w:rPr>
        <w:t>Walter Ricciardi</w:t>
      </w:r>
      <w:r>
        <w:rPr>
          <w:rFonts w:ascii="Crimson Pro" w:hAnsi="Crimson Pro" w:cstheme="minorHAnsi"/>
          <w:sz w:val="24"/>
          <w:szCs w:val="24"/>
        </w:rPr>
        <w:t>. “</w:t>
      </w:r>
      <w:r w:rsidRPr="0044751A">
        <w:rPr>
          <w:rFonts w:ascii="Crimson Pro" w:hAnsi="Crimson Pro" w:cstheme="minorHAnsi"/>
          <w:sz w:val="24"/>
          <w:szCs w:val="24"/>
        </w:rPr>
        <w:t>Attitudes, acceptance and hesitancy among the general population</w:t>
      </w:r>
      <w:r>
        <w:rPr>
          <w:rFonts w:ascii="Crimson Pro" w:hAnsi="Crimson Pro" w:cstheme="minorHAnsi"/>
          <w:sz w:val="24"/>
          <w:szCs w:val="24"/>
        </w:rPr>
        <w:t xml:space="preserve"> </w:t>
      </w:r>
      <w:r w:rsidRPr="0044751A">
        <w:rPr>
          <w:rFonts w:ascii="Crimson Pro" w:hAnsi="Crimson Pro" w:cstheme="minorHAnsi"/>
          <w:sz w:val="24"/>
          <w:szCs w:val="24"/>
        </w:rPr>
        <w:t>worldwide to receive the COVID-19 vaccines and their contributing</w:t>
      </w:r>
      <w:r>
        <w:rPr>
          <w:rFonts w:ascii="Crimson Pro" w:hAnsi="Crimson Pro" w:cstheme="minorHAnsi"/>
          <w:sz w:val="24"/>
          <w:szCs w:val="24"/>
        </w:rPr>
        <w:t xml:space="preserve"> </w:t>
      </w:r>
      <w:r w:rsidRPr="0044751A">
        <w:rPr>
          <w:rFonts w:ascii="Crimson Pro" w:hAnsi="Crimson Pro" w:cstheme="minorHAnsi"/>
          <w:sz w:val="24"/>
          <w:szCs w:val="24"/>
        </w:rPr>
        <w:t>factors: A systematic review</w:t>
      </w:r>
      <w:r w:rsidR="005D13EF">
        <w:rPr>
          <w:rFonts w:ascii="Crimson Pro" w:hAnsi="Crimson Pro" w:cstheme="minorHAnsi"/>
          <w:sz w:val="24"/>
          <w:szCs w:val="24"/>
        </w:rPr>
        <w:t>.</w:t>
      </w:r>
      <w:r>
        <w:rPr>
          <w:rFonts w:ascii="Crimson Pro" w:hAnsi="Crimson Pro" w:cstheme="minorHAnsi"/>
          <w:sz w:val="24"/>
          <w:szCs w:val="24"/>
        </w:rPr>
        <w:t>”</w:t>
      </w:r>
      <w:r w:rsidR="005D13EF">
        <w:rPr>
          <w:rFonts w:ascii="Crimson Pro" w:hAnsi="Crimson Pro" w:cstheme="minorHAnsi"/>
          <w:sz w:val="24"/>
          <w:szCs w:val="24"/>
        </w:rPr>
        <w:t xml:space="preserve"> </w:t>
      </w:r>
      <w:r w:rsidR="005D13EF" w:rsidRPr="005D13EF">
        <w:rPr>
          <w:rFonts w:ascii="Crimson Pro" w:hAnsi="Crimson Pro" w:cstheme="minorHAnsi"/>
          <w:i/>
          <w:iCs/>
          <w:sz w:val="24"/>
          <w:szCs w:val="24"/>
        </w:rPr>
        <w:t>E Clinical Medicine</w:t>
      </w:r>
      <w:r w:rsidR="005D13EF">
        <w:rPr>
          <w:rFonts w:ascii="Crimson Pro" w:hAnsi="Crimson Pro" w:cstheme="minorHAnsi"/>
          <w:i/>
          <w:iCs/>
          <w:sz w:val="24"/>
          <w:szCs w:val="24"/>
        </w:rPr>
        <w:t xml:space="preserve"> </w:t>
      </w:r>
      <w:r w:rsidR="005D13EF">
        <w:rPr>
          <w:rFonts w:ascii="Crimson Pro" w:hAnsi="Crimson Pro" w:cstheme="minorHAnsi"/>
          <w:sz w:val="24"/>
          <w:szCs w:val="24"/>
        </w:rPr>
        <w:t xml:space="preserve">40 (2021): </w:t>
      </w:r>
      <w:hyperlink r:id="rId10" w:history="1">
        <w:r w:rsidR="005D13EF" w:rsidRPr="00EC056D">
          <w:rPr>
            <w:rStyle w:val="Hyperlink"/>
            <w:rFonts w:ascii="Crimson Pro" w:hAnsi="Crimson Pro" w:cstheme="minorHAnsi"/>
            <w:sz w:val="24"/>
            <w:szCs w:val="24"/>
          </w:rPr>
          <w:t>https://doi.org/10.1016/j.eclinm.2021.101113</w:t>
        </w:r>
      </w:hyperlink>
      <w:r w:rsidR="005D13EF">
        <w:rPr>
          <w:rFonts w:ascii="Crimson Pro" w:hAnsi="Crimson Pro" w:cstheme="minorHAnsi"/>
          <w:sz w:val="24"/>
          <w:szCs w:val="24"/>
        </w:rPr>
        <w:t xml:space="preserve">. </w:t>
      </w:r>
    </w:p>
    <w:p w14:paraId="4EB0DDFB" w14:textId="548E65A2" w:rsidR="002D09A4" w:rsidRPr="002D09A4" w:rsidRDefault="002D09A4" w:rsidP="00AD472D">
      <w:pPr>
        <w:ind w:left="360" w:hanging="360"/>
        <w:rPr>
          <w:rFonts w:ascii="Crimson Pro" w:hAnsi="Crimson Pro" w:cstheme="minorHAnsi"/>
          <w:sz w:val="24"/>
          <w:szCs w:val="24"/>
        </w:rPr>
      </w:pPr>
      <w:r>
        <w:rPr>
          <w:rFonts w:ascii="Crimson Pro" w:hAnsi="Crimson Pro" w:cstheme="minorHAnsi"/>
          <w:sz w:val="24"/>
          <w:szCs w:val="24"/>
        </w:rPr>
        <w:t xml:space="preserve">Helm, Rebecca K. and Hitoshi </w:t>
      </w:r>
      <w:proofErr w:type="spellStart"/>
      <w:r>
        <w:rPr>
          <w:rFonts w:ascii="Crimson Pro" w:hAnsi="Crimson Pro" w:cstheme="minorHAnsi"/>
          <w:sz w:val="24"/>
          <w:szCs w:val="24"/>
        </w:rPr>
        <w:t>Nasu</w:t>
      </w:r>
      <w:proofErr w:type="spellEnd"/>
      <w:r>
        <w:rPr>
          <w:rFonts w:ascii="Crimson Pro" w:hAnsi="Crimson Pro" w:cstheme="minorHAnsi"/>
          <w:sz w:val="24"/>
          <w:szCs w:val="24"/>
        </w:rPr>
        <w:t xml:space="preserve">. “Regulatory Responses to ‘Fake News’ and Freedom of Expression: Normative and Empirical Evaluation.” </w:t>
      </w:r>
      <w:r>
        <w:rPr>
          <w:rFonts w:ascii="Crimson Pro" w:hAnsi="Crimson Pro" w:cstheme="minorHAnsi"/>
          <w:i/>
          <w:iCs/>
          <w:sz w:val="24"/>
          <w:szCs w:val="24"/>
        </w:rPr>
        <w:t>Human Rights Law Review</w:t>
      </w:r>
      <w:r>
        <w:rPr>
          <w:rFonts w:ascii="Crimson Pro" w:hAnsi="Crimson Pro" w:cstheme="minorHAnsi"/>
          <w:sz w:val="24"/>
          <w:szCs w:val="24"/>
        </w:rPr>
        <w:t xml:space="preserve"> 21 no. 2 (June 2021): 302-308. </w:t>
      </w:r>
      <w:hyperlink r:id="rId11" w:history="1">
        <w:r w:rsidRPr="00EC056D">
          <w:rPr>
            <w:rStyle w:val="Hyperlink"/>
            <w:rFonts w:ascii="Crimson Pro" w:hAnsi="Crimson Pro" w:cstheme="minorHAnsi"/>
            <w:sz w:val="24"/>
            <w:szCs w:val="24"/>
          </w:rPr>
          <w:t>https://doi.org/10.1093/hrlr/ngaa060</w:t>
        </w:r>
      </w:hyperlink>
      <w:r>
        <w:rPr>
          <w:rFonts w:ascii="Crimson Pro" w:hAnsi="Crimson Pro" w:cstheme="minorHAnsi"/>
          <w:sz w:val="24"/>
          <w:szCs w:val="24"/>
        </w:rPr>
        <w:t xml:space="preserve">. </w:t>
      </w:r>
    </w:p>
    <w:p w14:paraId="61CDA22B" w14:textId="7BAD9EC5" w:rsidR="00AD472D" w:rsidRPr="00AD472D" w:rsidRDefault="00AD472D" w:rsidP="00AD472D">
      <w:pPr>
        <w:ind w:left="360" w:hanging="360"/>
        <w:rPr>
          <w:rFonts w:ascii="Crimson Pro" w:hAnsi="Crimson Pro" w:cstheme="minorHAnsi"/>
          <w:sz w:val="24"/>
          <w:szCs w:val="24"/>
        </w:rPr>
      </w:pPr>
      <w:proofErr w:type="spellStart"/>
      <w:r w:rsidRPr="00AD472D">
        <w:rPr>
          <w:rFonts w:ascii="Crimson Pro" w:hAnsi="Crimson Pro" w:cstheme="minorHAnsi"/>
          <w:sz w:val="24"/>
          <w:szCs w:val="24"/>
        </w:rPr>
        <w:t>Kajimoto</w:t>
      </w:r>
      <w:proofErr w:type="spellEnd"/>
      <w:r w:rsidRPr="00AD472D">
        <w:rPr>
          <w:rFonts w:ascii="Crimson Pro" w:hAnsi="Crimson Pro" w:cstheme="minorHAnsi"/>
          <w:sz w:val="24"/>
          <w:szCs w:val="24"/>
        </w:rPr>
        <w:t xml:space="preserve">, Masato and Samantha Stanley (eds.). </w:t>
      </w:r>
      <w:r w:rsidRPr="00AD472D">
        <w:rPr>
          <w:rFonts w:ascii="Crimson Pro" w:hAnsi="Crimson Pro" w:cstheme="minorHAnsi"/>
          <w:i/>
          <w:iCs/>
          <w:sz w:val="24"/>
          <w:szCs w:val="24"/>
        </w:rPr>
        <w:t>Information Disorder in Asia and the Pacific</w:t>
      </w:r>
      <w:r w:rsidRPr="00AD472D">
        <w:rPr>
          <w:rFonts w:ascii="Crimson Pro" w:hAnsi="Crimson Pro" w:cstheme="minorHAnsi"/>
          <w:sz w:val="24"/>
          <w:szCs w:val="24"/>
        </w:rPr>
        <w:t>. Hong Kong: Journalism &amp; Media Studies Centre, University of Hong Kong, 2019.</w:t>
      </w:r>
    </w:p>
    <w:p w14:paraId="319069CE" w14:textId="31CA5C23" w:rsidR="00AD472D" w:rsidRDefault="00AD472D" w:rsidP="00AD472D">
      <w:pPr>
        <w:ind w:left="360" w:hanging="360"/>
        <w:rPr>
          <w:rFonts w:ascii="Crimson Pro" w:hAnsi="Crimson Pro" w:cstheme="minorHAnsi"/>
          <w:sz w:val="24"/>
          <w:szCs w:val="24"/>
        </w:rPr>
      </w:pPr>
      <w:proofErr w:type="spellStart"/>
      <w:r w:rsidRPr="00AD472D">
        <w:rPr>
          <w:rFonts w:ascii="Crimson Pro" w:hAnsi="Crimson Pro" w:cstheme="minorHAnsi"/>
          <w:sz w:val="24"/>
          <w:szCs w:val="24"/>
        </w:rPr>
        <w:t>Keränen</w:t>
      </w:r>
      <w:proofErr w:type="spellEnd"/>
      <w:r w:rsidRPr="00AD472D">
        <w:rPr>
          <w:rFonts w:ascii="Crimson Pro" w:hAnsi="Crimson Pro" w:cstheme="minorHAnsi"/>
          <w:sz w:val="24"/>
          <w:szCs w:val="24"/>
        </w:rPr>
        <w:t xml:space="preserve">, Lisa. “Biosecurity and Communication.” In </w:t>
      </w:r>
      <w:proofErr w:type="gramStart"/>
      <w:r w:rsidRPr="00AD472D">
        <w:rPr>
          <w:rFonts w:ascii="Crimson Pro" w:hAnsi="Crimson Pro" w:cstheme="minorHAnsi"/>
          <w:i/>
          <w:iCs/>
          <w:sz w:val="24"/>
          <w:szCs w:val="24"/>
        </w:rPr>
        <w:t>The</w:t>
      </w:r>
      <w:proofErr w:type="gramEnd"/>
      <w:r w:rsidRPr="00AD472D">
        <w:rPr>
          <w:rFonts w:ascii="Crimson Pro" w:hAnsi="Crimson Pro" w:cstheme="minorHAnsi"/>
          <w:i/>
          <w:iCs/>
          <w:sz w:val="24"/>
          <w:szCs w:val="24"/>
        </w:rPr>
        <w:t xml:space="preserve"> Handbook of Communication and Security</w:t>
      </w:r>
      <w:r w:rsidRPr="00AD472D">
        <w:rPr>
          <w:rFonts w:ascii="Crimson Pro" w:hAnsi="Crimson Pro" w:cstheme="minorHAnsi"/>
          <w:sz w:val="24"/>
          <w:szCs w:val="24"/>
        </w:rPr>
        <w:t>, edited by Bryan C Taylor and Hamilton Bean, 223-246. Abingdon: Routledge, 2019.</w:t>
      </w:r>
    </w:p>
    <w:p w14:paraId="32A5E174" w14:textId="0DCDB5A5" w:rsidR="0063500D" w:rsidRDefault="0063500D" w:rsidP="00AD472D">
      <w:pPr>
        <w:ind w:left="360" w:hanging="360"/>
        <w:rPr>
          <w:rFonts w:ascii="Crimson Pro" w:hAnsi="Crimson Pro" w:cstheme="minorHAnsi"/>
          <w:sz w:val="24"/>
          <w:szCs w:val="24"/>
        </w:rPr>
      </w:pPr>
      <w:proofErr w:type="spellStart"/>
      <w:r>
        <w:rPr>
          <w:rFonts w:ascii="Crimson Pro" w:hAnsi="Crimson Pro" w:cstheme="minorHAnsi"/>
          <w:sz w:val="24"/>
          <w:szCs w:val="24"/>
        </w:rPr>
        <w:t>Passanante</w:t>
      </w:r>
      <w:proofErr w:type="spellEnd"/>
      <w:r>
        <w:rPr>
          <w:rFonts w:ascii="Crimson Pro" w:hAnsi="Crimson Pro" w:cstheme="minorHAnsi"/>
          <w:sz w:val="24"/>
          <w:szCs w:val="24"/>
        </w:rPr>
        <w:t xml:space="preserve">, Aly, Ed </w:t>
      </w:r>
      <w:r w:rsidR="00AD472D">
        <w:rPr>
          <w:rFonts w:ascii="Crimson Pro" w:hAnsi="Crimson Pro" w:cstheme="minorHAnsi"/>
          <w:sz w:val="24"/>
          <w:szCs w:val="24"/>
        </w:rPr>
        <w:t>P</w:t>
      </w:r>
      <w:r>
        <w:rPr>
          <w:rFonts w:ascii="Crimson Pro" w:hAnsi="Crimson Pro" w:cstheme="minorHAnsi"/>
          <w:sz w:val="24"/>
          <w:szCs w:val="24"/>
        </w:rPr>
        <w:t xml:space="preserve">ertwee, Leesa Lin, Kristi </w:t>
      </w:r>
      <w:proofErr w:type="spellStart"/>
      <w:r>
        <w:rPr>
          <w:rFonts w:ascii="Crimson Pro" w:hAnsi="Crimson Pro" w:cstheme="minorHAnsi"/>
          <w:sz w:val="24"/>
          <w:szCs w:val="24"/>
        </w:rPr>
        <w:t>Yoonsup</w:t>
      </w:r>
      <w:proofErr w:type="spellEnd"/>
      <w:r>
        <w:rPr>
          <w:rFonts w:ascii="Crimson Pro" w:hAnsi="Crimson Pro" w:cstheme="minorHAnsi"/>
          <w:sz w:val="24"/>
          <w:szCs w:val="24"/>
        </w:rPr>
        <w:t xml:space="preserve"> Lee, Joseph T. Wu, and Heidi J. Larson. “Conversational AI and Vaccine Communication: Systematic Review of the Evidence.” </w:t>
      </w:r>
      <w:r w:rsidRPr="0063500D">
        <w:rPr>
          <w:rFonts w:ascii="Crimson Pro" w:hAnsi="Crimson Pro" w:cstheme="minorHAnsi"/>
          <w:i/>
          <w:iCs/>
          <w:sz w:val="24"/>
          <w:szCs w:val="24"/>
        </w:rPr>
        <w:t>Journal of Medical Internet Research</w:t>
      </w:r>
      <w:r>
        <w:rPr>
          <w:rFonts w:ascii="Crimson Pro" w:hAnsi="Crimson Pro" w:cstheme="minorHAnsi"/>
          <w:i/>
          <w:iCs/>
          <w:sz w:val="24"/>
          <w:szCs w:val="24"/>
        </w:rPr>
        <w:t xml:space="preserve"> </w:t>
      </w:r>
      <w:r w:rsidRPr="0063500D">
        <w:rPr>
          <w:rFonts w:ascii="Crimson Pro" w:hAnsi="Crimson Pro" w:cstheme="minorHAnsi"/>
          <w:sz w:val="24"/>
          <w:szCs w:val="24"/>
        </w:rPr>
        <w:t>25</w:t>
      </w:r>
      <w:r>
        <w:rPr>
          <w:rFonts w:ascii="Crimson Pro" w:hAnsi="Crimson Pro" w:cstheme="minorHAnsi"/>
          <w:sz w:val="24"/>
          <w:szCs w:val="24"/>
        </w:rPr>
        <w:t xml:space="preserve"> (October 2023): </w:t>
      </w:r>
      <w:hyperlink r:id="rId12" w:history="1">
        <w:r w:rsidRPr="00EC056D">
          <w:rPr>
            <w:rStyle w:val="Hyperlink"/>
            <w:rFonts w:ascii="Crimson Pro" w:hAnsi="Crimson Pro" w:cstheme="minorHAnsi"/>
            <w:sz w:val="24"/>
            <w:szCs w:val="24"/>
          </w:rPr>
          <w:t>https://doi.org/10.2196/42758</w:t>
        </w:r>
      </w:hyperlink>
      <w:r>
        <w:rPr>
          <w:rFonts w:ascii="Crimson Pro" w:hAnsi="Crimson Pro" w:cstheme="minorHAnsi"/>
          <w:sz w:val="24"/>
          <w:szCs w:val="24"/>
        </w:rPr>
        <w:t xml:space="preserve">. </w:t>
      </w:r>
    </w:p>
    <w:p w14:paraId="7F857FC7" w14:textId="503F978D" w:rsidR="005D13EF" w:rsidRDefault="00BE7D67" w:rsidP="00AD472D">
      <w:pPr>
        <w:ind w:left="360" w:hanging="360"/>
        <w:rPr>
          <w:rFonts w:ascii="Crimson Pro" w:hAnsi="Crimson Pro" w:cstheme="minorHAnsi"/>
          <w:sz w:val="24"/>
          <w:szCs w:val="24"/>
        </w:rPr>
      </w:pPr>
      <w:r>
        <w:rPr>
          <w:rFonts w:ascii="Crimson Pro" w:hAnsi="Crimson Pro" w:cstheme="minorHAnsi"/>
          <w:sz w:val="24"/>
          <w:szCs w:val="24"/>
        </w:rPr>
        <w:t xml:space="preserve">Peckham, Robert. </w:t>
      </w:r>
      <w:r w:rsidRPr="00BE7D67">
        <w:rPr>
          <w:rFonts w:ascii="Crimson Pro" w:hAnsi="Crimson Pro" w:cstheme="minorHAnsi"/>
          <w:i/>
          <w:iCs/>
          <w:sz w:val="24"/>
          <w:szCs w:val="24"/>
        </w:rPr>
        <w:t>Epidemics in Modern Asia</w:t>
      </w:r>
      <w:r>
        <w:rPr>
          <w:rFonts w:ascii="Crimson Pro" w:hAnsi="Crimson Pro" w:cstheme="minorHAnsi"/>
          <w:i/>
          <w:iCs/>
          <w:sz w:val="24"/>
          <w:szCs w:val="24"/>
        </w:rPr>
        <w:t>.</w:t>
      </w:r>
      <w:r>
        <w:rPr>
          <w:rFonts w:ascii="Crimson Pro" w:hAnsi="Crimson Pro" w:cstheme="minorHAnsi"/>
          <w:sz w:val="24"/>
          <w:szCs w:val="24"/>
        </w:rPr>
        <w:t xml:space="preserve"> Cambridge: </w:t>
      </w:r>
      <w:r w:rsidRPr="00BE7D67">
        <w:rPr>
          <w:rFonts w:ascii="Crimson Pro" w:hAnsi="Crimson Pro" w:cstheme="minorHAnsi"/>
          <w:sz w:val="24"/>
          <w:szCs w:val="24"/>
        </w:rPr>
        <w:t xml:space="preserve">Cambridge University Press, </w:t>
      </w:r>
      <w:r>
        <w:rPr>
          <w:rFonts w:ascii="Crimson Pro" w:hAnsi="Crimson Pro" w:cstheme="minorHAnsi"/>
          <w:sz w:val="24"/>
          <w:szCs w:val="24"/>
        </w:rPr>
        <w:t>2016.</w:t>
      </w:r>
    </w:p>
    <w:p w14:paraId="70B28CCC" w14:textId="09E503AB" w:rsidR="00AD472D" w:rsidRDefault="00AD472D" w:rsidP="00AD472D">
      <w:pPr>
        <w:ind w:left="360" w:hanging="360"/>
        <w:rPr>
          <w:rFonts w:ascii="Crimson Pro" w:hAnsi="Crimson Pro" w:cstheme="minorHAnsi"/>
          <w:sz w:val="24"/>
          <w:szCs w:val="24"/>
        </w:rPr>
      </w:pPr>
      <w:r w:rsidRPr="00AD472D">
        <w:rPr>
          <w:rFonts w:ascii="Crimson Pro" w:hAnsi="Crimson Pro" w:cstheme="minorHAnsi"/>
          <w:sz w:val="24"/>
          <w:szCs w:val="24"/>
        </w:rPr>
        <w:t xml:space="preserve">Rocha, </w:t>
      </w:r>
      <w:proofErr w:type="spellStart"/>
      <w:r w:rsidRPr="00AD472D">
        <w:rPr>
          <w:rFonts w:ascii="Crimson Pro" w:hAnsi="Crimson Pro" w:cstheme="minorHAnsi"/>
          <w:sz w:val="24"/>
          <w:szCs w:val="24"/>
        </w:rPr>
        <w:t>Yasmim</w:t>
      </w:r>
      <w:proofErr w:type="spellEnd"/>
      <w:r w:rsidRPr="00AD472D">
        <w:rPr>
          <w:rFonts w:ascii="Crimson Pro" w:hAnsi="Crimson Pro" w:cstheme="minorHAnsi"/>
          <w:sz w:val="24"/>
          <w:szCs w:val="24"/>
        </w:rPr>
        <w:t xml:space="preserve"> Mendes et al. “The impact of fake news on social media and its influence on health during the COVID-19 pandemic: a systematic review.”</w:t>
      </w:r>
      <w:r w:rsidRPr="00AD472D">
        <w:rPr>
          <w:rFonts w:ascii="Crimson Pro" w:hAnsi="Crimson Pro" w:cstheme="minorHAnsi"/>
          <w:i/>
          <w:iCs/>
          <w:sz w:val="24"/>
          <w:szCs w:val="24"/>
        </w:rPr>
        <w:t xml:space="preserve"> Journal of Public Health </w:t>
      </w:r>
      <w:r w:rsidRPr="00AD472D">
        <w:rPr>
          <w:rFonts w:ascii="Crimson Pro" w:hAnsi="Crimson Pro" w:cstheme="minorHAnsi"/>
          <w:sz w:val="24"/>
          <w:szCs w:val="24"/>
        </w:rPr>
        <w:t>31</w:t>
      </w:r>
      <w:r w:rsidRPr="00AD472D">
        <w:rPr>
          <w:rFonts w:ascii="Crimson Pro" w:hAnsi="Crimson Pro" w:cstheme="minorHAnsi"/>
          <w:i/>
          <w:iCs/>
          <w:sz w:val="24"/>
          <w:szCs w:val="24"/>
        </w:rPr>
        <w:t xml:space="preserve"> </w:t>
      </w:r>
      <w:r w:rsidRPr="00AD472D">
        <w:rPr>
          <w:rFonts w:ascii="Crimson Pro" w:hAnsi="Crimson Pro" w:cstheme="minorHAnsi"/>
          <w:sz w:val="24"/>
          <w:szCs w:val="24"/>
        </w:rPr>
        <w:t xml:space="preserve">(2021): 1007-1016. </w:t>
      </w:r>
      <w:hyperlink r:id="rId13" w:history="1">
        <w:r w:rsidRPr="00AD472D">
          <w:rPr>
            <w:rStyle w:val="Hyperlink"/>
            <w:rFonts w:ascii="Crimson Pro" w:hAnsi="Crimson Pro" w:cstheme="minorHAnsi"/>
            <w:sz w:val="24"/>
            <w:szCs w:val="24"/>
          </w:rPr>
          <w:t>https://doi.org/10.1007/s10389-021-01658-z</w:t>
        </w:r>
      </w:hyperlink>
      <w:r w:rsidRPr="00AD472D">
        <w:rPr>
          <w:rFonts w:ascii="Crimson Pro" w:hAnsi="Crimson Pro" w:cstheme="minorHAnsi"/>
          <w:sz w:val="24"/>
          <w:szCs w:val="24"/>
        </w:rPr>
        <w:t xml:space="preserve">.  </w:t>
      </w:r>
    </w:p>
    <w:p w14:paraId="041A85DC" w14:textId="30D9E5BD" w:rsidR="005D13EF" w:rsidRPr="005D13EF" w:rsidRDefault="008C3209" w:rsidP="00AD472D">
      <w:pPr>
        <w:ind w:left="360" w:hanging="360"/>
        <w:rPr>
          <w:rFonts w:ascii="Crimson Pro" w:hAnsi="Crimson Pro" w:cstheme="minorHAnsi"/>
          <w:sz w:val="24"/>
          <w:szCs w:val="24"/>
        </w:rPr>
      </w:pPr>
      <w:proofErr w:type="spellStart"/>
      <w:r w:rsidRPr="008C3209">
        <w:rPr>
          <w:rFonts w:ascii="Crimson Pro" w:hAnsi="Crimson Pro" w:cstheme="minorHAnsi"/>
          <w:sz w:val="24"/>
          <w:szCs w:val="24"/>
        </w:rPr>
        <w:t>Sasidharan</w:t>
      </w:r>
      <w:proofErr w:type="spellEnd"/>
      <w:r w:rsidRPr="008C3209">
        <w:rPr>
          <w:rFonts w:ascii="Crimson Pro" w:hAnsi="Crimson Pro" w:cstheme="minorHAnsi"/>
          <w:sz w:val="24"/>
          <w:szCs w:val="24"/>
        </w:rPr>
        <w:t xml:space="preserve">, </w:t>
      </w:r>
      <w:proofErr w:type="spellStart"/>
      <w:r w:rsidRPr="008C3209">
        <w:rPr>
          <w:rFonts w:ascii="Crimson Pro" w:hAnsi="Crimson Pro" w:cstheme="minorHAnsi"/>
          <w:sz w:val="24"/>
          <w:szCs w:val="24"/>
        </w:rPr>
        <w:t>Arathi</w:t>
      </w:r>
      <w:proofErr w:type="spellEnd"/>
      <w:r>
        <w:rPr>
          <w:rFonts w:ascii="Crimson Pro" w:hAnsi="Crimson Pro" w:cstheme="minorHAnsi"/>
          <w:sz w:val="24"/>
          <w:szCs w:val="24"/>
        </w:rPr>
        <w:t>,</w:t>
      </w:r>
      <w:r w:rsidRPr="008C3209">
        <w:rPr>
          <w:rFonts w:ascii="Crimson Pro" w:hAnsi="Crimson Pro" w:cstheme="minorHAnsi"/>
          <w:sz w:val="24"/>
          <w:szCs w:val="24"/>
        </w:rPr>
        <w:t xml:space="preserve"> </w:t>
      </w:r>
      <w:proofErr w:type="spellStart"/>
      <w:r w:rsidRPr="008C3209">
        <w:rPr>
          <w:rFonts w:ascii="Crimson Pro" w:hAnsi="Crimson Pro" w:cstheme="minorHAnsi"/>
          <w:sz w:val="24"/>
          <w:szCs w:val="24"/>
        </w:rPr>
        <w:t>Reka</w:t>
      </w:r>
      <w:proofErr w:type="spellEnd"/>
      <w:r w:rsidRPr="008C3209">
        <w:rPr>
          <w:rFonts w:ascii="Crimson Pro" w:hAnsi="Crimson Pro" w:cstheme="minorHAnsi"/>
          <w:sz w:val="24"/>
          <w:szCs w:val="24"/>
        </w:rPr>
        <w:t xml:space="preserve"> Putra </w:t>
      </w:r>
      <w:proofErr w:type="spellStart"/>
      <w:r w:rsidRPr="008C3209">
        <w:rPr>
          <w:rFonts w:ascii="Crimson Pro" w:hAnsi="Crimson Pro" w:cstheme="minorHAnsi"/>
          <w:sz w:val="24"/>
          <w:szCs w:val="24"/>
        </w:rPr>
        <w:t>Indera</w:t>
      </w:r>
      <w:proofErr w:type="spellEnd"/>
      <w:r w:rsidRPr="008C3209">
        <w:rPr>
          <w:rFonts w:ascii="Crimson Pro" w:hAnsi="Crimson Pro" w:cstheme="minorHAnsi"/>
          <w:sz w:val="24"/>
          <w:szCs w:val="24"/>
        </w:rPr>
        <w:t xml:space="preserve">, </w:t>
      </w:r>
      <w:proofErr w:type="spellStart"/>
      <w:r w:rsidRPr="008C3209">
        <w:rPr>
          <w:rFonts w:ascii="Crimson Pro" w:hAnsi="Crimson Pro" w:cstheme="minorHAnsi"/>
          <w:sz w:val="24"/>
          <w:szCs w:val="24"/>
        </w:rPr>
        <w:t>Tikki</w:t>
      </w:r>
      <w:proofErr w:type="spellEnd"/>
      <w:r w:rsidRPr="008C3209">
        <w:rPr>
          <w:rFonts w:ascii="Crimson Pro" w:hAnsi="Crimson Pro" w:cstheme="minorHAnsi"/>
          <w:sz w:val="24"/>
          <w:szCs w:val="24"/>
        </w:rPr>
        <w:t xml:space="preserve"> </w:t>
      </w:r>
      <w:proofErr w:type="spellStart"/>
      <w:r w:rsidRPr="008C3209">
        <w:rPr>
          <w:rFonts w:ascii="Crimson Pro" w:hAnsi="Crimson Pro" w:cstheme="minorHAnsi"/>
          <w:sz w:val="24"/>
          <w:szCs w:val="24"/>
        </w:rPr>
        <w:t>Pangestu</w:t>
      </w:r>
      <w:proofErr w:type="spellEnd"/>
      <w:r w:rsidRPr="008C3209">
        <w:rPr>
          <w:rFonts w:ascii="Crimson Pro" w:hAnsi="Crimson Pro" w:cstheme="minorHAnsi"/>
          <w:sz w:val="24"/>
          <w:szCs w:val="24"/>
        </w:rPr>
        <w:t>, and Ananta Seth</w:t>
      </w:r>
      <w:r>
        <w:rPr>
          <w:rFonts w:ascii="Crimson Pro" w:hAnsi="Crimson Pro" w:cstheme="minorHAnsi"/>
          <w:sz w:val="24"/>
          <w:szCs w:val="24"/>
        </w:rPr>
        <w:t>.</w:t>
      </w:r>
      <w:r w:rsidRPr="008C3209">
        <w:rPr>
          <w:rFonts w:ascii="Crimson Pro" w:hAnsi="Crimson Pro" w:cstheme="minorHAnsi"/>
          <w:sz w:val="24"/>
          <w:szCs w:val="24"/>
        </w:rPr>
        <w:t xml:space="preserve"> </w:t>
      </w:r>
      <w:r w:rsidRPr="008C3209">
        <w:rPr>
          <w:rFonts w:ascii="Crimson Pro" w:hAnsi="Crimson Pro" w:cstheme="minorHAnsi"/>
          <w:i/>
          <w:iCs/>
          <w:sz w:val="24"/>
          <w:szCs w:val="24"/>
        </w:rPr>
        <w:t xml:space="preserve">Best Practices for Vaccine Communications: Lessons Learned on Preparedness and Policy Implications </w:t>
      </w:r>
      <w:proofErr w:type="gramStart"/>
      <w:r w:rsidRPr="008C3209">
        <w:rPr>
          <w:rFonts w:ascii="Crimson Pro" w:hAnsi="Crimson Pro" w:cstheme="minorHAnsi"/>
          <w:i/>
          <w:iCs/>
          <w:sz w:val="24"/>
          <w:szCs w:val="24"/>
        </w:rPr>
        <w:t>From</w:t>
      </w:r>
      <w:proofErr w:type="gramEnd"/>
      <w:r w:rsidRPr="008C3209">
        <w:rPr>
          <w:rFonts w:ascii="Crimson Pro" w:hAnsi="Crimson Pro" w:cstheme="minorHAnsi"/>
          <w:i/>
          <w:iCs/>
          <w:sz w:val="24"/>
          <w:szCs w:val="24"/>
        </w:rPr>
        <w:t xml:space="preserve"> India, Indonesia and the Philippines</w:t>
      </w:r>
      <w:r>
        <w:rPr>
          <w:rFonts w:ascii="Crimson Pro" w:hAnsi="Crimson Pro" w:cstheme="minorHAnsi"/>
          <w:i/>
          <w:iCs/>
          <w:sz w:val="24"/>
          <w:szCs w:val="24"/>
        </w:rPr>
        <w:t>.</w:t>
      </w:r>
      <w:r w:rsidRPr="008C3209">
        <w:rPr>
          <w:rFonts w:ascii="Crimson Pro" w:hAnsi="Crimson Pro" w:cstheme="minorHAnsi"/>
          <w:sz w:val="24"/>
          <w:szCs w:val="24"/>
        </w:rPr>
        <w:t xml:space="preserve"> Asia Pacific Immunization Coalition</w:t>
      </w:r>
      <w:r>
        <w:rPr>
          <w:rFonts w:ascii="Crimson Pro" w:hAnsi="Crimson Pro" w:cstheme="minorHAnsi"/>
          <w:sz w:val="24"/>
          <w:szCs w:val="24"/>
        </w:rPr>
        <w:t>,</w:t>
      </w:r>
      <w:r w:rsidRPr="008C3209">
        <w:rPr>
          <w:rFonts w:ascii="Crimson Pro" w:hAnsi="Crimson Pro" w:cstheme="minorHAnsi"/>
          <w:sz w:val="24"/>
          <w:szCs w:val="24"/>
        </w:rPr>
        <w:t xml:space="preserve"> 2022</w:t>
      </w:r>
      <w:r>
        <w:rPr>
          <w:rFonts w:ascii="Crimson Pro" w:hAnsi="Crimson Pro" w:cstheme="minorHAnsi"/>
          <w:sz w:val="24"/>
          <w:szCs w:val="24"/>
        </w:rPr>
        <w:t xml:space="preserve">. </w:t>
      </w:r>
      <w:hyperlink r:id="rId14" w:history="1">
        <w:r w:rsidRPr="00EC056D">
          <w:rPr>
            <w:rStyle w:val="Hyperlink"/>
            <w:rFonts w:ascii="Crimson Pro" w:hAnsi="Crimson Pro" w:cstheme="minorHAnsi"/>
            <w:sz w:val="24"/>
            <w:szCs w:val="24"/>
          </w:rPr>
          <w:t>https://medicine.nus.edu.sg/apic/what-we-do/best-practices-for-vaccine-communications-lessons-learned-on-preparedness-and-policy-implications-from-india-indonesia-and-the-philippines/</w:t>
        </w:r>
      </w:hyperlink>
      <w:r w:rsidRPr="008C3209">
        <w:rPr>
          <w:rFonts w:ascii="Crimson Pro" w:hAnsi="Crimson Pro" w:cstheme="minorHAnsi"/>
          <w:sz w:val="24"/>
          <w:szCs w:val="24"/>
        </w:rPr>
        <w:t>.</w:t>
      </w:r>
      <w:r>
        <w:rPr>
          <w:rFonts w:ascii="Crimson Pro" w:hAnsi="Crimson Pro" w:cstheme="minorHAnsi"/>
          <w:sz w:val="24"/>
          <w:szCs w:val="24"/>
        </w:rPr>
        <w:t xml:space="preserve"> </w:t>
      </w:r>
    </w:p>
    <w:p w14:paraId="1FB497F2" w14:textId="4938E73B" w:rsidR="008C3209" w:rsidRDefault="008C3209" w:rsidP="00AD472D">
      <w:pPr>
        <w:ind w:left="360" w:hanging="360"/>
        <w:rPr>
          <w:rFonts w:ascii="Crimson Pro" w:hAnsi="Crimson Pro" w:cstheme="minorHAnsi"/>
          <w:sz w:val="24"/>
          <w:szCs w:val="24"/>
        </w:rPr>
      </w:pPr>
      <w:r>
        <w:rPr>
          <w:rFonts w:ascii="Crimson Pro" w:hAnsi="Crimson Pro" w:cstheme="minorHAnsi"/>
          <w:sz w:val="24"/>
          <w:szCs w:val="24"/>
        </w:rPr>
        <w:t xml:space="preserve">United Nations Educational, Scientific and Cultural Organization. </w:t>
      </w:r>
      <w:r>
        <w:rPr>
          <w:rFonts w:ascii="Crimson Pro" w:hAnsi="Crimson Pro" w:cstheme="minorHAnsi"/>
          <w:i/>
          <w:iCs/>
          <w:sz w:val="24"/>
          <w:szCs w:val="24"/>
        </w:rPr>
        <w:t>Media Development Indicators: A framework for assessing media development.</w:t>
      </w:r>
      <w:r>
        <w:rPr>
          <w:rFonts w:ascii="Crimson Pro" w:hAnsi="Crimson Pro" w:cstheme="minorHAnsi"/>
          <w:sz w:val="24"/>
          <w:szCs w:val="24"/>
        </w:rPr>
        <w:t xml:space="preserve"> Paris: UNESCO, 2008. </w:t>
      </w:r>
      <w:hyperlink r:id="rId15" w:history="1">
        <w:r w:rsidRPr="00EC056D">
          <w:rPr>
            <w:rStyle w:val="Hyperlink"/>
            <w:rFonts w:ascii="Crimson Pro" w:hAnsi="Crimson Pro" w:cstheme="minorHAnsi"/>
            <w:sz w:val="24"/>
            <w:szCs w:val="24"/>
          </w:rPr>
          <w:t>https://unesdoc.unesco.org/ark:/48223/pf0000163102/PDF/163102eng.pdf.multi</w:t>
        </w:r>
      </w:hyperlink>
      <w:r>
        <w:rPr>
          <w:rFonts w:ascii="Crimson Pro" w:hAnsi="Crimson Pro" w:cstheme="minorHAnsi"/>
          <w:sz w:val="24"/>
          <w:szCs w:val="24"/>
        </w:rPr>
        <w:t xml:space="preserve">. </w:t>
      </w:r>
    </w:p>
    <w:p w14:paraId="784E97F8" w14:textId="7A290FA2" w:rsidR="009C33EB" w:rsidRPr="009C33EB" w:rsidRDefault="009C33EB" w:rsidP="009C33EB">
      <w:pPr>
        <w:ind w:left="360" w:hanging="360"/>
        <w:rPr>
          <w:rFonts w:ascii="Crimson Pro" w:hAnsi="Crimson Pro" w:cstheme="minorHAnsi"/>
          <w:sz w:val="24"/>
          <w:szCs w:val="24"/>
        </w:rPr>
      </w:pPr>
      <w:proofErr w:type="spellStart"/>
      <w:r w:rsidRPr="009C33EB">
        <w:rPr>
          <w:rFonts w:ascii="Crimson Pro" w:hAnsi="Crimson Pro" w:cstheme="minorHAnsi"/>
          <w:sz w:val="24"/>
          <w:szCs w:val="24"/>
        </w:rPr>
        <w:t>Kozyreva</w:t>
      </w:r>
      <w:proofErr w:type="spellEnd"/>
      <w:r>
        <w:rPr>
          <w:rFonts w:ascii="Crimson Pro" w:hAnsi="Crimson Pro" w:cstheme="minorHAnsi"/>
          <w:sz w:val="24"/>
          <w:szCs w:val="24"/>
        </w:rPr>
        <w:t>,</w:t>
      </w:r>
      <w:r w:rsidRPr="009C33EB">
        <w:rPr>
          <w:rFonts w:ascii="Crimson Pro" w:hAnsi="Crimson Pro" w:cstheme="minorHAnsi"/>
          <w:sz w:val="24"/>
          <w:szCs w:val="24"/>
        </w:rPr>
        <w:t xml:space="preserve"> Anastasia, Stefan M. Herzog, Stephan Lewandowsky, Ralph </w:t>
      </w:r>
      <w:proofErr w:type="spellStart"/>
      <w:r w:rsidRPr="009C33EB">
        <w:rPr>
          <w:rFonts w:ascii="Crimson Pro" w:hAnsi="Crimson Pro" w:cstheme="minorHAnsi"/>
          <w:sz w:val="24"/>
          <w:szCs w:val="24"/>
        </w:rPr>
        <w:t>Hertwig</w:t>
      </w:r>
      <w:proofErr w:type="spellEnd"/>
      <w:r w:rsidRPr="009C33EB">
        <w:rPr>
          <w:rFonts w:ascii="Crimson Pro" w:hAnsi="Crimson Pro" w:cstheme="minorHAnsi"/>
          <w:sz w:val="24"/>
          <w:szCs w:val="24"/>
        </w:rPr>
        <w:t>, Philipp Lorenz-</w:t>
      </w:r>
      <w:proofErr w:type="spellStart"/>
      <w:r w:rsidRPr="009C33EB">
        <w:rPr>
          <w:rFonts w:ascii="Crimson Pro" w:hAnsi="Crimson Pro" w:cstheme="minorHAnsi"/>
          <w:sz w:val="24"/>
          <w:szCs w:val="24"/>
        </w:rPr>
        <w:t>Spreen</w:t>
      </w:r>
      <w:proofErr w:type="spellEnd"/>
      <w:r w:rsidRPr="009C33EB">
        <w:rPr>
          <w:rFonts w:ascii="Crimson Pro" w:hAnsi="Crimson Pro" w:cstheme="minorHAnsi"/>
          <w:sz w:val="24"/>
          <w:szCs w:val="24"/>
        </w:rPr>
        <w:t xml:space="preserve">, Mark </w:t>
      </w:r>
      <w:proofErr w:type="spellStart"/>
      <w:r w:rsidRPr="009C33EB">
        <w:rPr>
          <w:rFonts w:ascii="Crimson Pro" w:hAnsi="Crimson Pro" w:cstheme="minorHAnsi"/>
          <w:sz w:val="24"/>
          <w:szCs w:val="24"/>
        </w:rPr>
        <w:t>Leiser</w:t>
      </w:r>
      <w:proofErr w:type="spellEnd"/>
      <w:r w:rsidRPr="009C33EB">
        <w:rPr>
          <w:rFonts w:ascii="Crimson Pro" w:hAnsi="Crimson Pro" w:cstheme="minorHAnsi"/>
          <w:sz w:val="24"/>
          <w:szCs w:val="24"/>
        </w:rPr>
        <w:t xml:space="preserve">, and Jason </w:t>
      </w:r>
      <w:proofErr w:type="spellStart"/>
      <w:r w:rsidRPr="009C33EB">
        <w:rPr>
          <w:rFonts w:ascii="Crimson Pro" w:hAnsi="Crimson Pro" w:cstheme="minorHAnsi"/>
          <w:sz w:val="24"/>
          <w:szCs w:val="24"/>
        </w:rPr>
        <w:t>Reifler</w:t>
      </w:r>
      <w:proofErr w:type="spellEnd"/>
      <w:r>
        <w:rPr>
          <w:rFonts w:ascii="Crimson Pro" w:hAnsi="Crimson Pro" w:cstheme="minorHAnsi"/>
          <w:sz w:val="24"/>
          <w:szCs w:val="24"/>
        </w:rPr>
        <w:t>. “</w:t>
      </w:r>
      <w:r w:rsidRPr="009C33EB">
        <w:rPr>
          <w:rFonts w:ascii="Crimson Pro" w:hAnsi="Crimson Pro" w:cstheme="minorHAnsi"/>
          <w:sz w:val="24"/>
          <w:szCs w:val="24"/>
        </w:rPr>
        <w:t>Resolving content moderation dilemmas between free speech and harmful misinformation</w:t>
      </w:r>
      <w:r>
        <w:rPr>
          <w:rFonts w:ascii="Crimson Pro" w:hAnsi="Crimson Pro" w:cstheme="minorHAnsi"/>
          <w:sz w:val="24"/>
          <w:szCs w:val="24"/>
        </w:rPr>
        <w:t xml:space="preserve">.” </w:t>
      </w:r>
      <w:r>
        <w:rPr>
          <w:rFonts w:ascii="Crimson Pro" w:hAnsi="Crimson Pro" w:cstheme="minorHAnsi"/>
          <w:i/>
          <w:iCs/>
          <w:sz w:val="24"/>
          <w:szCs w:val="24"/>
        </w:rPr>
        <w:t xml:space="preserve">PNAS </w:t>
      </w:r>
      <w:r>
        <w:rPr>
          <w:rFonts w:ascii="Crimson Pro" w:hAnsi="Crimson Pro" w:cstheme="minorHAnsi"/>
          <w:sz w:val="24"/>
          <w:szCs w:val="24"/>
        </w:rPr>
        <w:t xml:space="preserve">120 no. 7 (2023): </w:t>
      </w:r>
      <w:hyperlink r:id="rId16" w:history="1">
        <w:r w:rsidRPr="00EC056D">
          <w:rPr>
            <w:rStyle w:val="Hyperlink"/>
            <w:rFonts w:ascii="Crimson Pro" w:hAnsi="Crimson Pro" w:cstheme="minorHAnsi"/>
            <w:sz w:val="24"/>
            <w:szCs w:val="24"/>
          </w:rPr>
          <w:t>https://doi.org/10.1073/pnas.221066612</w:t>
        </w:r>
      </w:hyperlink>
      <w:r>
        <w:rPr>
          <w:rFonts w:ascii="Crimson Pro" w:hAnsi="Crimson Pro" w:cstheme="minorHAnsi"/>
          <w:sz w:val="24"/>
          <w:szCs w:val="24"/>
        </w:rPr>
        <w:t>.</w:t>
      </w:r>
    </w:p>
    <w:sectPr w:rsidR="009C33EB" w:rsidRPr="009C33EB" w:rsidSect="00403D0E">
      <w:footerReference w:type="default" r:id="rId17"/>
      <w:endnotePr>
        <w:numFmt w:val="decimal"/>
      </w:endnotePr>
      <w:pgSz w:w="11906" w:h="16838"/>
      <w:pgMar w:top="1440" w:right="1440" w:bottom="1440" w:left="1440" w:header="706" w:footer="706"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0F585D" w14:textId="77777777" w:rsidR="008357E4" w:rsidRDefault="008357E4" w:rsidP="00841F3C">
      <w:pPr>
        <w:spacing w:after="0" w:line="240" w:lineRule="auto"/>
      </w:pPr>
      <w:r>
        <w:separator/>
      </w:r>
    </w:p>
  </w:endnote>
  <w:endnote w:type="continuationSeparator" w:id="0">
    <w:p w14:paraId="36A340DA" w14:textId="77777777" w:rsidR="008357E4" w:rsidRDefault="008357E4" w:rsidP="0084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rimson Pro">
    <w:altName w:val="Calibri"/>
    <w:charset w:val="00"/>
    <w:family w:val="auto"/>
    <w:pitch w:val="variable"/>
    <w:sig w:usb0="A00000FF" w:usb1="5000E04B" w:usb2="00000000" w:usb3="00000000" w:csb0="00000193"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rimson Pro" w:hAnsi="Crimson Pro"/>
      </w:rPr>
      <w:id w:val="-1799134371"/>
      <w:docPartObj>
        <w:docPartGallery w:val="Page Numbers (Bottom of Page)"/>
        <w:docPartUnique/>
      </w:docPartObj>
    </w:sdtPr>
    <w:sdtEndPr>
      <w:rPr>
        <w:noProof/>
      </w:rPr>
    </w:sdtEndPr>
    <w:sdtContent>
      <w:p w14:paraId="4FCF2FCB" w14:textId="5B98922F" w:rsidR="00CD03A7" w:rsidRPr="00A10D95" w:rsidRDefault="00CD03A7">
        <w:pPr>
          <w:pStyle w:val="Footer"/>
          <w:jc w:val="center"/>
          <w:rPr>
            <w:rFonts w:ascii="Crimson Pro" w:hAnsi="Crimson Pro"/>
          </w:rPr>
        </w:pPr>
        <w:r w:rsidRPr="00A10D95">
          <w:rPr>
            <w:rFonts w:ascii="Crimson Pro" w:hAnsi="Crimson Pro"/>
          </w:rPr>
          <w:fldChar w:fldCharType="begin"/>
        </w:r>
        <w:r w:rsidRPr="00A10D95">
          <w:rPr>
            <w:rFonts w:ascii="Crimson Pro" w:hAnsi="Crimson Pro"/>
          </w:rPr>
          <w:instrText xml:space="preserve"> PAGE   \* MERGEFORMAT </w:instrText>
        </w:r>
        <w:r w:rsidRPr="00A10D95">
          <w:rPr>
            <w:rFonts w:ascii="Crimson Pro" w:hAnsi="Crimson Pro"/>
          </w:rPr>
          <w:fldChar w:fldCharType="separate"/>
        </w:r>
        <w:r w:rsidRPr="00A10D95">
          <w:rPr>
            <w:rFonts w:ascii="Crimson Pro" w:hAnsi="Crimson Pro"/>
            <w:noProof/>
          </w:rPr>
          <w:t>2</w:t>
        </w:r>
        <w:r w:rsidRPr="00A10D95">
          <w:rPr>
            <w:rFonts w:ascii="Crimson Pro" w:hAnsi="Crimson Pro"/>
            <w:noProof/>
          </w:rPr>
          <w:fldChar w:fldCharType="end"/>
        </w:r>
      </w:p>
    </w:sdtContent>
  </w:sdt>
  <w:p w14:paraId="71988D8B" w14:textId="77777777" w:rsidR="00CD03A7" w:rsidRPr="00A10D95" w:rsidRDefault="00CD03A7">
    <w:pPr>
      <w:pStyle w:val="Footer"/>
      <w:rPr>
        <w:rFonts w:ascii="Crimson Pro" w:hAnsi="Crimson Pr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5921E2" w14:textId="77777777" w:rsidR="008357E4" w:rsidRDefault="008357E4" w:rsidP="00841F3C">
      <w:pPr>
        <w:spacing w:after="0" w:line="240" w:lineRule="auto"/>
      </w:pPr>
      <w:r>
        <w:separator/>
      </w:r>
    </w:p>
  </w:footnote>
  <w:footnote w:type="continuationSeparator" w:id="0">
    <w:p w14:paraId="5E0548C3" w14:textId="77777777" w:rsidR="008357E4" w:rsidRDefault="008357E4" w:rsidP="00841F3C">
      <w:pPr>
        <w:spacing w:after="0" w:line="240" w:lineRule="auto"/>
      </w:pPr>
      <w:r>
        <w:continuationSeparator/>
      </w:r>
    </w:p>
  </w:footnote>
  <w:footnote w:id="1">
    <w:p w14:paraId="267B435D" w14:textId="77777777" w:rsidR="00AD4580" w:rsidRPr="00337FA6" w:rsidRDefault="00AD4580" w:rsidP="00AD4580">
      <w:pPr>
        <w:pStyle w:val="FootnoteText"/>
        <w:rPr>
          <w:rFonts w:ascii="Crimson Pro" w:hAnsi="Crimson Pro"/>
        </w:rPr>
      </w:pPr>
      <w:r w:rsidRPr="00337FA6">
        <w:rPr>
          <w:rStyle w:val="FootnoteReference"/>
          <w:rFonts w:ascii="Crimson Pro" w:hAnsi="Crimson Pro"/>
        </w:rPr>
        <w:footnoteRef/>
      </w:r>
      <w:r w:rsidRPr="00337FA6">
        <w:rPr>
          <w:rFonts w:ascii="Crimson Pro" w:hAnsi="Crimson Pro"/>
        </w:rPr>
        <w:t xml:space="preserve"> Milton J. Lewis and Kerrie L. MacPherson, “Public Health in Asia and the Pacific: An Introduction,” </w:t>
      </w:r>
      <w:r w:rsidRPr="00337FA6">
        <w:rPr>
          <w:rFonts w:ascii="Crimson Pro" w:hAnsi="Crimson Pro"/>
          <w:i/>
          <w:iCs/>
        </w:rPr>
        <w:t>Public Health in Asia and the Pacific: Historical and Comparative Perspectives,</w:t>
      </w:r>
      <w:r w:rsidRPr="00337FA6">
        <w:rPr>
          <w:rFonts w:ascii="Crimson Pro" w:hAnsi="Crimson Pro"/>
        </w:rPr>
        <w:t xml:space="preserve"> ed. Milton J. Lewis and Kerrie L. MacPherson</w:t>
      </w:r>
      <w:r w:rsidRPr="00337FA6">
        <w:rPr>
          <w:rFonts w:ascii="Crimson Pro" w:hAnsi="Crimson Pro"/>
          <w:i/>
          <w:iCs/>
        </w:rPr>
        <w:t xml:space="preserve"> </w:t>
      </w:r>
      <w:r w:rsidRPr="00337FA6">
        <w:rPr>
          <w:rFonts w:ascii="Crimson Pro" w:hAnsi="Crimson Pro"/>
        </w:rPr>
        <w:t>(New York: Routledge, 2007), 1-9.</w:t>
      </w:r>
    </w:p>
  </w:footnote>
  <w:footnote w:id="2">
    <w:p w14:paraId="3673E2D5" w14:textId="77777777" w:rsidR="00A2326C" w:rsidRPr="00337FA6" w:rsidRDefault="00A2326C" w:rsidP="003A1A91">
      <w:pPr>
        <w:pStyle w:val="FootnoteText"/>
        <w:rPr>
          <w:rFonts w:ascii="Crimson Pro" w:hAnsi="Crimson Pro"/>
        </w:rPr>
      </w:pPr>
      <w:r w:rsidRPr="00337FA6">
        <w:rPr>
          <w:rStyle w:val="FootnoteReference"/>
          <w:rFonts w:ascii="Crimson Pro" w:hAnsi="Crimson Pro"/>
        </w:rPr>
        <w:footnoteRef/>
      </w:r>
      <w:r w:rsidRPr="00337FA6">
        <w:rPr>
          <w:rFonts w:ascii="Crimson Pro" w:hAnsi="Crimson Pro"/>
        </w:rPr>
        <w:t xml:space="preserve"> WHO, “Summary WHO SAGE conclusions and recommendations on Vaccine Hesitancy,” (2015), https://www.who.int/docs/default-source/immunization/demand/summary-of-sage-vaccinehesitancy-en.pdf?sfvrsn=abbfd5c8_2.</w:t>
      </w:r>
    </w:p>
  </w:footnote>
  <w:footnote w:id="3">
    <w:p w14:paraId="0A1D13A9" w14:textId="77777777" w:rsidR="00A2326C" w:rsidRPr="00337FA6" w:rsidRDefault="00A2326C" w:rsidP="003A1A91">
      <w:pPr>
        <w:pStyle w:val="FootnoteText"/>
        <w:rPr>
          <w:rFonts w:ascii="Crimson Pro" w:hAnsi="Crimson Pro"/>
        </w:rPr>
      </w:pPr>
      <w:r w:rsidRPr="00337FA6">
        <w:rPr>
          <w:rStyle w:val="FootnoteReference"/>
          <w:rFonts w:ascii="Crimson Pro" w:hAnsi="Crimson Pro"/>
        </w:rPr>
        <w:footnoteRef/>
      </w:r>
      <w:r w:rsidRPr="00337FA6">
        <w:rPr>
          <w:rFonts w:ascii="Crimson Pro" w:hAnsi="Crimson Pro"/>
        </w:rPr>
        <w:t xml:space="preserve"> WHO, “Ten threats to global health in 2019,” (2019), https://www.who.int/news-room/spotlight/ten-threats-to-global-health-in-2019.</w:t>
      </w:r>
    </w:p>
  </w:footnote>
  <w:footnote w:id="4">
    <w:p w14:paraId="168A4A41" w14:textId="60CAA844" w:rsidR="00A2326C" w:rsidRPr="00337FA6" w:rsidRDefault="00A2326C">
      <w:pPr>
        <w:pStyle w:val="FootnoteText"/>
        <w:rPr>
          <w:rFonts w:ascii="Crimson Pro" w:hAnsi="Crimson Pro"/>
        </w:rPr>
      </w:pPr>
      <w:r w:rsidRPr="00337FA6">
        <w:rPr>
          <w:rStyle w:val="FootnoteReference"/>
          <w:rFonts w:ascii="Crimson Pro" w:hAnsi="Crimson Pro"/>
        </w:rPr>
        <w:footnoteRef/>
      </w:r>
      <w:r w:rsidRPr="00337FA6">
        <w:rPr>
          <w:rFonts w:ascii="Crimson Pro" w:hAnsi="Crimson Pro"/>
        </w:rPr>
        <w:t xml:space="preserve"> Kerrie Wiley and Julie Leask, “The Drivers of COVID-19 Vaccine Uptake and Strategies to Increase Vaccination Rates,” Global Health Security Network: 2022.</w:t>
      </w:r>
    </w:p>
  </w:footnote>
  <w:footnote w:id="5">
    <w:p w14:paraId="76A30FDE" w14:textId="77777777" w:rsidR="00A2326C" w:rsidRPr="00337FA6" w:rsidRDefault="00A2326C" w:rsidP="00A10D95">
      <w:pPr>
        <w:pStyle w:val="FootnoteText"/>
        <w:rPr>
          <w:rFonts w:ascii="Crimson Pro" w:hAnsi="Crimson Pro"/>
        </w:rPr>
      </w:pPr>
      <w:r w:rsidRPr="00337FA6">
        <w:rPr>
          <w:rStyle w:val="FootnoteReference"/>
          <w:rFonts w:ascii="Crimson Pro" w:hAnsi="Crimson Pro"/>
        </w:rPr>
        <w:footnoteRef/>
      </w:r>
      <w:r w:rsidRPr="00337FA6">
        <w:rPr>
          <w:rFonts w:ascii="Crimson Pro" w:hAnsi="Crimson Pro"/>
        </w:rPr>
        <w:t xml:space="preserve"> Fidelia Cascinia, Ana Pantovicb, Yazan Al-Ajlounic, Giovanna Faillad, and Walter Ricciardia, “Attitudes, acceptance and hesitancy among the general population worldwide to receive the COVID-19 vaccines and their contributing factors: A systematic review,” </w:t>
      </w:r>
      <w:r w:rsidRPr="00337FA6">
        <w:rPr>
          <w:rFonts w:ascii="Crimson Pro" w:hAnsi="Crimson Pro"/>
          <w:i/>
          <w:iCs/>
        </w:rPr>
        <w:t>eClinicalMedicine</w:t>
      </w:r>
      <w:r w:rsidRPr="00337FA6">
        <w:rPr>
          <w:rFonts w:ascii="Crimson Pro" w:hAnsi="Crimson Pro"/>
        </w:rPr>
        <w:t xml:space="preserve"> vol. 40 (2021), 8. </w:t>
      </w:r>
    </w:p>
  </w:footnote>
  <w:footnote w:id="6">
    <w:p w14:paraId="32EF6984" w14:textId="77777777" w:rsidR="00A2326C" w:rsidRPr="00337FA6" w:rsidRDefault="00A2326C" w:rsidP="00493262">
      <w:pPr>
        <w:pStyle w:val="FootnoteText"/>
        <w:rPr>
          <w:rFonts w:ascii="Crimson Pro" w:hAnsi="Crimson Pro"/>
        </w:rPr>
      </w:pPr>
      <w:r w:rsidRPr="00337FA6">
        <w:rPr>
          <w:rStyle w:val="FootnoteReference"/>
          <w:rFonts w:ascii="Crimson Pro" w:hAnsi="Crimson Pro"/>
        </w:rPr>
        <w:footnoteRef/>
      </w:r>
      <w:r w:rsidRPr="00337FA6">
        <w:rPr>
          <w:rFonts w:ascii="Crimson Pro" w:hAnsi="Crimson Pro"/>
        </w:rPr>
        <w:t xml:space="preserve"> Daniel S. Courtney and Ana-Maria Bliuc, “Antecedents of Vaccine Hesitancy in WEIRD and East Asian Contexts,” </w:t>
      </w:r>
      <w:r w:rsidRPr="00337FA6">
        <w:rPr>
          <w:rFonts w:ascii="Crimson Pro" w:hAnsi="Crimson Pro"/>
          <w:i/>
          <w:iCs/>
        </w:rPr>
        <w:t>Frontiers in Psychology</w:t>
      </w:r>
      <w:r w:rsidRPr="00337FA6">
        <w:rPr>
          <w:rFonts w:ascii="Crimson Pro" w:hAnsi="Crimson Pro"/>
        </w:rPr>
        <w:t xml:space="preserve"> vol. 12 (2021), 1.</w:t>
      </w:r>
    </w:p>
  </w:footnote>
  <w:footnote w:id="7">
    <w:p w14:paraId="72DE1317" w14:textId="77777777" w:rsidR="00A2326C" w:rsidRPr="00337FA6" w:rsidRDefault="00A2326C" w:rsidP="00493262">
      <w:pPr>
        <w:pStyle w:val="FootnoteText"/>
        <w:rPr>
          <w:rFonts w:ascii="Crimson Pro" w:hAnsi="Crimson Pro"/>
        </w:rPr>
      </w:pPr>
      <w:r w:rsidRPr="00337FA6">
        <w:rPr>
          <w:rStyle w:val="FootnoteReference"/>
          <w:rFonts w:ascii="Crimson Pro" w:hAnsi="Crimson Pro"/>
        </w:rPr>
        <w:footnoteRef/>
      </w:r>
      <w:r w:rsidRPr="00337FA6">
        <w:rPr>
          <w:rFonts w:ascii="Crimson Pro" w:hAnsi="Crimson Pro"/>
        </w:rPr>
        <w:t xml:space="preserve"> Fidelia Cascinia, Ana Pantovicb, Yazan Al-Ajlounic, Giovanna Faillad, and Walter Ricciardia, “Attitudes, acceptance and hesitancy among the general population worldwide to receive the COVID-19 vaccines and their contributing factors: A systematic review,” </w:t>
      </w:r>
      <w:r w:rsidRPr="00337FA6">
        <w:rPr>
          <w:rFonts w:ascii="Crimson Pro" w:hAnsi="Crimson Pro"/>
          <w:i/>
          <w:iCs/>
        </w:rPr>
        <w:t>eClinicalMedicine</w:t>
      </w:r>
      <w:r w:rsidRPr="00337FA6">
        <w:rPr>
          <w:rFonts w:ascii="Crimson Pro" w:hAnsi="Crimson Pro"/>
        </w:rPr>
        <w:t xml:space="preserve"> vol. 40 (2021), 8. </w:t>
      </w:r>
    </w:p>
  </w:footnote>
  <w:footnote w:id="8">
    <w:p w14:paraId="72FD9576" w14:textId="055BBEC4" w:rsidR="00A2326C" w:rsidRPr="00337FA6" w:rsidRDefault="00A2326C" w:rsidP="003A1A91">
      <w:pPr>
        <w:pStyle w:val="FootnoteText"/>
        <w:rPr>
          <w:rFonts w:ascii="Crimson Pro" w:hAnsi="Crimson Pro"/>
        </w:rPr>
      </w:pPr>
      <w:r w:rsidRPr="00337FA6">
        <w:rPr>
          <w:rStyle w:val="FootnoteReference"/>
          <w:rFonts w:ascii="Crimson Pro" w:hAnsi="Crimson Pro"/>
        </w:rPr>
        <w:footnoteRef/>
      </w:r>
      <w:r w:rsidRPr="00337FA6">
        <w:rPr>
          <w:rFonts w:ascii="Crimson Pro" w:hAnsi="Crimson Pro"/>
        </w:rPr>
        <w:t xml:space="preserve"> UNHCR, “Factsheet 4: Types of Misinformation and Disinformation,” </w:t>
      </w:r>
      <w:r w:rsidRPr="00337FA6">
        <w:rPr>
          <w:rFonts w:ascii="Crimson Pro" w:hAnsi="Crimson Pro"/>
          <w:i/>
          <w:iCs/>
        </w:rPr>
        <w:t>Using Social Media in Community-Based Protection: A Guide,”</w:t>
      </w:r>
      <w:r w:rsidRPr="00337FA6">
        <w:rPr>
          <w:rFonts w:ascii="Crimson Pro" w:hAnsi="Crimson Pro"/>
        </w:rPr>
        <w:t xml:space="preserve"> (2021): 230-231.</w:t>
      </w:r>
    </w:p>
  </w:footnote>
  <w:footnote w:id="9">
    <w:p w14:paraId="2A6C9ED8" w14:textId="252179AE" w:rsidR="00A2326C" w:rsidRPr="00337FA6" w:rsidRDefault="00A2326C" w:rsidP="003A1A91">
      <w:pPr>
        <w:pStyle w:val="FootnoteText"/>
        <w:rPr>
          <w:rFonts w:ascii="Crimson Pro" w:hAnsi="Crimson Pro"/>
        </w:rPr>
      </w:pPr>
    </w:p>
  </w:footnote>
  <w:footnote w:id="10">
    <w:p w14:paraId="7862352C" w14:textId="77777777" w:rsidR="00A2326C" w:rsidRPr="00337FA6" w:rsidRDefault="00A2326C" w:rsidP="009D17E4">
      <w:pPr>
        <w:pStyle w:val="FootnoteText"/>
        <w:rPr>
          <w:rFonts w:ascii="Crimson Pro" w:hAnsi="Crimson Pro"/>
        </w:rPr>
      </w:pPr>
      <w:r w:rsidRPr="00337FA6">
        <w:rPr>
          <w:rStyle w:val="FootnoteReference"/>
          <w:rFonts w:ascii="Crimson Pro" w:hAnsi="Crimson Pro"/>
        </w:rPr>
        <w:footnoteRef/>
      </w:r>
      <w:r w:rsidRPr="00337FA6">
        <w:rPr>
          <w:rFonts w:ascii="Crimson Pro" w:hAnsi="Crimson Pro"/>
        </w:rPr>
        <w:t xml:space="preserve"> WHO, “Summary WHO SAGE conclusions.”</w:t>
      </w:r>
    </w:p>
  </w:footnote>
  <w:footnote w:id="11">
    <w:p w14:paraId="234ACBA3" w14:textId="77777777" w:rsidR="00A2326C" w:rsidRPr="00337FA6" w:rsidRDefault="00A2326C" w:rsidP="009D17E4">
      <w:pPr>
        <w:pStyle w:val="FootnoteText"/>
        <w:rPr>
          <w:rFonts w:ascii="Crimson Pro" w:hAnsi="Crimson Pro"/>
        </w:rPr>
      </w:pPr>
      <w:r w:rsidRPr="00337FA6">
        <w:rPr>
          <w:rStyle w:val="FootnoteReference"/>
          <w:rFonts w:ascii="Crimson Pro" w:hAnsi="Crimson Pro"/>
        </w:rPr>
        <w:footnoteRef/>
      </w:r>
      <w:r w:rsidRPr="00337FA6">
        <w:rPr>
          <w:rFonts w:ascii="Crimson Pro" w:hAnsi="Crimson Pro"/>
        </w:rPr>
        <w:t xml:space="preserve"> UNESCO, </w:t>
      </w:r>
      <w:r w:rsidRPr="00337FA6">
        <w:rPr>
          <w:rFonts w:ascii="Crimson Pro" w:hAnsi="Crimson Pro"/>
          <w:i/>
          <w:iCs/>
        </w:rPr>
        <w:t>Media Development Indicators: A framework for assessing media development</w:t>
      </w:r>
      <w:r w:rsidRPr="00337FA6">
        <w:rPr>
          <w:rFonts w:ascii="Crimson Pro" w:hAnsi="Crimson Pro"/>
        </w:rPr>
        <w:t>, 2008, https://unesdoc.unesco.org/ark:/48223/pf0000163102/PDF/163102eng.pdf.multi.</w:t>
      </w:r>
    </w:p>
  </w:footnote>
  <w:footnote w:id="12">
    <w:p w14:paraId="24167C71" w14:textId="20743BF8" w:rsidR="00A2326C" w:rsidRPr="00337FA6" w:rsidRDefault="00A2326C" w:rsidP="003A1A91">
      <w:pPr>
        <w:pStyle w:val="FootnoteText"/>
        <w:rPr>
          <w:rFonts w:ascii="Crimson Pro" w:hAnsi="Crimson Pro"/>
        </w:rPr>
      </w:pPr>
      <w:r w:rsidRPr="00337FA6">
        <w:rPr>
          <w:rStyle w:val="FootnoteReference"/>
          <w:rFonts w:ascii="Crimson Pro" w:hAnsi="Crimson Pro"/>
        </w:rPr>
        <w:footnoteRef/>
      </w:r>
      <w:r w:rsidRPr="00337FA6">
        <w:rPr>
          <w:rFonts w:ascii="Crimson Pro" w:hAnsi="Crimson Pro"/>
        </w:rPr>
        <w:t xml:space="preserve"> Roxana Radu, “Fighting the ‘Infodemic’: Legal responses to COVID-19 Disinformation,” </w:t>
      </w:r>
      <w:r w:rsidRPr="00337FA6">
        <w:rPr>
          <w:rFonts w:ascii="Crimson Pro" w:hAnsi="Crimson Pro"/>
          <w:i/>
          <w:iCs/>
        </w:rPr>
        <w:t>Social Media + Society</w:t>
      </w:r>
      <w:r w:rsidRPr="00337FA6">
        <w:rPr>
          <w:rFonts w:ascii="Crimson Pro" w:hAnsi="Crimson Pro"/>
        </w:rPr>
        <w:t xml:space="preserve"> (July-September 2020): 1-2; Daniel Funke and Daniela Flamini, “A guide to anti-misinformation actions around the world,” Poytner (2019), https://www.poynter.org/ifcn/anti-misinformation-actions/.</w:t>
      </w:r>
    </w:p>
  </w:footnote>
  <w:footnote w:id="13">
    <w:p w14:paraId="52153552" w14:textId="77777777" w:rsidR="00A2326C" w:rsidRPr="00337FA6" w:rsidRDefault="00A2326C" w:rsidP="003A1A91">
      <w:pPr>
        <w:pStyle w:val="FootnoteText"/>
        <w:rPr>
          <w:rFonts w:ascii="Crimson Pro" w:hAnsi="Crimson Pro"/>
        </w:rPr>
      </w:pPr>
      <w:r w:rsidRPr="00337FA6">
        <w:rPr>
          <w:rStyle w:val="FootnoteReference"/>
          <w:rFonts w:ascii="Crimson Pro" w:hAnsi="Crimson Pro"/>
        </w:rPr>
        <w:footnoteRef/>
      </w:r>
      <w:r w:rsidRPr="00337FA6">
        <w:rPr>
          <w:rFonts w:ascii="Crimson Pro" w:hAnsi="Crimson Pro"/>
        </w:rPr>
        <w:t xml:space="preserve"> Stephanie Alice Baker, Matthew Wade, and Michael James Walsh, “The challenges of responding to misinformation during a pandemic: content moderation and the limitations of the concept of harm,” </w:t>
      </w:r>
      <w:r w:rsidRPr="00337FA6">
        <w:rPr>
          <w:rFonts w:ascii="Crimson Pro" w:hAnsi="Crimson Pro"/>
          <w:i/>
          <w:iCs/>
        </w:rPr>
        <w:t>Media International Australia</w:t>
      </w:r>
      <w:r w:rsidRPr="00337FA6">
        <w:rPr>
          <w:rFonts w:ascii="Crimson Pro" w:hAnsi="Crimson Pro"/>
        </w:rPr>
        <w:t xml:space="preserve"> (November 2020): 105.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AB16EC"/>
    <w:multiLevelType w:val="hybridMultilevel"/>
    <w:tmpl w:val="34342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2068E"/>
    <w:multiLevelType w:val="hybridMultilevel"/>
    <w:tmpl w:val="68EC97CC"/>
    <w:lvl w:ilvl="0" w:tplc="056A2D6A">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168C2859"/>
    <w:multiLevelType w:val="hybridMultilevel"/>
    <w:tmpl w:val="0BC00F70"/>
    <w:lvl w:ilvl="0" w:tplc="056A2D6A">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4DE502FD"/>
    <w:multiLevelType w:val="hybridMultilevel"/>
    <w:tmpl w:val="ECDAEC0C"/>
    <w:lvl w:ilvl="0" w:tplc="23143906">
      <w:numFmt w:val="bullet"/>
      <w:lvlText w:val="-"/>
      <w:lvlJc w:val="left"/>
      <w:pPr>
        <w:ind w:left="840" w:hanging="360"/>
      </w:pPr>
      <w:rPr>
        <w:rFonts w:ascii="Calibri" w:eastAsiaTheme="minorEastAsia" w:hAnsi="Calibri" w:cs="Calibri"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4" w15:restartNumberingAfterBreak="0">
    <w:nsid w:val="4F7B571B"/>
    <w:multiLevelType w:val="hybridMultilevel"/>
    <w:tmpl w:val="343A0BD6"/>
    <w:lvl w:ilvl="0" w:tplc="641272CA">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5FB7BAC"/>
    <w:multiLevelType w:val="hybridMultilevel"/>
    <w:tmpl w:val="BA6A09CE"/>
    <w:lvl w:ilvl="0" w:tplc="056A2D6A">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7A7D4F3D"/>
    <w:multiLevelType w:val="hybridMultilevel"/>
    <w:tmpl w:val="391A0A4A"/>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7" w15:restartNumberingAfterBreak="0">
    <w:nsid w:val="7E501B22"/>
    <w:multiLevelType w:val="hybridMultilevel"/>
    <w:tmpl w:val="3F6EA9E2"/>
    <w:lvl w:ilvl="0" w:tplc="641272C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7"/>
  </w:num>
  <w:num w:numId="4">
    <w:abstractNumId w:val="5"/>
  </w:num>
  <w:num w:numId="5">
    <w:abstractNumId w:val="3"/>
  </w:num>
  <w:num w:numId="6">
    <w:abstractNumId w:val="1"/>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rawingGridVerticalSpacing w:val="163"/>
  <w:displayHorizontalDrawingGridEvery w:val="2"/>
  <w:displayVerticalDrawingGridEvery w:val="2"/>
  <w:characterSpacingControl w:val="doNotCompress"/>
  <w:savePreviewPicture/>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2DE"/>
    <w:rsid w:val="00012184"/>
    <w:rsid w:val="00027CBB"/>
    <w:rsid w:val="000306CE"/>
    <w:rsid w:val="0003707E"/>
    <w:rsid w:val="00040BA2"/>
    <w:rsid w:val="00074582"/>
    <w:rsid w:val="00077CBA"/>
    <w:rsid w:val="000A4DD1"/>
    <w:rsid w:val="000A5293"/>
    <w:rsid w:val="000B6758"/>
    <w:rsid w:val="000C4CB7"/>
    <w:rsid w:val="000C5014"/>
    <w:rsid w:val="000F085D"/>
    <w:rsid w:val="000F1E60"/>
    <w:rsid w:val="00100F4B"/>
    <w:rsid w:val="001147C4"/>
    <w:rsid w:val="00140DF8"/>
    <w:rsid w:val="00143B9E"/>
    <w:rsid w:val="00152DDE"/>
    <w:rsid w:val="001619BA"/>
    <w:rsid w:val="0016337B"/>
    <w:rsid w:val="00182F92"/>
    <w:rsid w:val="001971B9"/>
    <w:rsid w:val="001A43FB"/>
    <w:rsid w:val="001A67D5"/>
    <w:rsid w:val="001B4D57"/>
    <w:rsid w:val="001B5D90"/>
    <w:rsid w:val="001C352D"/>
    <w:rsid w:val="001D1944"/>
    <w:rsid w:val="001D1949"/>
    <w:rsid w:val="001D37B7"/>
    <w:rsid w:val="001E7549"/>
    <w:rsid w:val="001F069A"/>
    <w:rsid w:val="001F0795"/>
    <w:rsid w:val="00206D0C"/>
    <w:rsid w:val="0020798F"/>
    <w:rsid w:val="00221462"/>
    <w:rsid w:val="002377D5"/>
    <w:rsid w:val="00243BAE"/>
    <w:rsid w:val="00257D7B"/>
    <w:rsid w:val="00260032"/>
    <w:rsid w:val="00266067"/>
    <w:rsid w:val="0026677F"/>
    <w:rsid w:val="00267D35"/>
    <w:rsid w:val="00277A49"/>
    <w:rsid w:val="00282E97"/>
    <w:rsid w:val="00290AB6"/>
    <w:rsid w:val="0029667D"/>
    <w:rsid w:val="002A50D0"/>
    <w:rsid w:val="002B1FF4"/>
    <w:rsid w:val="002B2A7D"/>
    <w:rsid w:val="002B4C4D"/>
    <w:rsid w:val="002D09A4"/>
    <w:rsid w:val="002E261A"/>
    <w:rsid w:val="00301AC8"/>
    <w:rsid w:val="00317A82"/>
    <w:rsid w:val="00322D75"/>
    <w:rsid w:val="00325657"/>
    <w:rsid w:val="00333C7F"/>
    <w:rsid w:val="00337FA6"/>
    <w:rsid w:val="00351C78"/>
    <w:rsid w:val="003614EF"/>
    <w:rsid w:val="00372260"/>
    <w:rsid w:val="00377BA3"/>
    <w:rsid w:val="003809B5"/>
    <w:rsid w:val="003823F6"/>
    <w:rsid w:val="00390EBC"/>
    <w:rsid w:val="00396742"/>
    <w:rsid w:val="003A1A91"/>
    <w:rsid w:val="003B29DD"/>
    <w:rsid w:val="003B550A"/>
    <w:rsid w:val="003C55EF"/>
    <w:rsid w:val="003D65B8"/>
    <w:rsid w:val="003E4E44"/>
    <w:rsid w:val="003E5103"/>
    <w:rsid w:val="003F25B1"/>
    <w:rsid w:val="00403D0E"/>
    <w:rsid w:val="004042D5"/>
    <w:rsid w:val="00413CAF"/>
    <w:rsid w:val="0041743A"/>
    <w:rsid w:val="00430E35"/>
    <w:rsid w:val="004312DE"/>
    <w:rsid w:val="004461BB"/>
    <w:rsid w:val="0044751A"/>
    <w:rsid w:val="004572BF"/>
    <w:rsid w:val="004619D0"/>
    <w:rsid w:val="00481B9B"/>
    <w:rsid w:val="004831A6"/>
    <w:rsid w:val="004841FE"/>
    <w:rsid w:val="00493262"/>
    <w:rsid w:val="004B3E16"/>
    <w:rsid w:val="004C136B"/>
    <w:rsid w:val="004C139A"/>
    <w:rsid w:val="004D2B25"/>
    <w:rsid w:val="004D376E"/>
    <w:rsid w:val="004E514B"/>
    <w:rsid w:val="004F6059"/>
    <w:rsid w:val="005045F8"/>
    <w:rsid w:val="005110D1"/>
    <w:rsid w:val="00514B3E"/>
    <w:rsid w:val="00527F96"/>
    <w:rsid w:val="00556E40"/>
    <w:rsid w:val="00574788"/>
    <w:rsid w:val="00594B10"/>
    <w:rsid w:val="005B65B6"/>
    <w:rsid w:val="005C4CAB"/>
    <w:rsid w:val="005D13EF"/>
    <w:rsid w:val="005F041E"/>
    <w:rsid w:val="00604753"/>
    <w:rsid w:val="00610A5E"/>
    <w:rsid w:val="00622AF2"/>
    <w:rsid w:val="0063500D"/>
    <w:rsid w:val="00650BB5"/>
    <w:rsid w:val="00664267"/>
    <w:rsid w:val="00691701"/>
    <w:rsid w:val="006A46F2"/>
    <w:rsid w:val="006B4724"/>
    <w:rsid w:val="006D5D63"/>
    <w:rsid w:val="006F4EA4"/>
    <w:rsid w:val="006F63BA"/>
    <w:rsid w:val="00731EC7"/>
    <w:rsid w:val="00734146"/>
    <w:rsid w:val="00741811"/>
    <w:rsid w:val="007743D6"/>
    <w:rsid w:val="00780B27"/>
    <w:rsid w:val="00793570"/>
    <w:rsid w:val="007C33B6"/>
    <w:rsid w:val="007D168F"/>
    <w:rsid w:val="007E53D5"/>
    <w:rsid w:val="00803414"/>
    <w:rsid w:val="00807794"/>
    <w:rsid w:val="00821B71"/>
    <w:rsid w:val="00821DCF"/>
    <w:rsid w:val="008357E4"/>
    <w:rsid w:val="00841F3C"/>
    <w:rsid w:val="008536CB"/>
    <w:rsid w:val="00866A29"/>
    <w:rsid w:val="008C3209"/>
    <w:rsid w:val="008F01BC"/>
    <w:rsid w:val="008F3C71"/>
    <w:rsid w:val="00933491"/>
    <w:rsid w:val="009439DB"/>
    <w:rsid w:val="0095507E"/>
    <w:rsid w:val="009A3B5E"/>
    <w:rsid w:val="009A671F"/>
    <w:rsid w:val="009B1D3B"/>
    <w:rsid w:val="009C33EB"/>
    <w:rsid w:val="009C7A88"/>
    <w:rsid w:val="009D10E5"/>
    <w:rsid w:val="009D17E4"/>
    <w:rsid w:val="009F1FD8"/>
    <w:rsid w:val="00A10D95"/>
    <w:rsid w:val="00A206C1"/>
    <w:rsid w:val="00A2326C"/>
    <w:rsid w:val="00A41F5E"/>
    <w:rsid w:val="00A54C76"/>
    <w:rsid w:val="00A55C78"/>
    <w:rsid w:val="00A62B35"/>
    <w:rsid w:val="00A64091"/>
    <w:rsid w:val="00A73013"/>
    <w:rsid w:val="00AC2D1A"/>
    <w:rsid w:val="00AC6BF2"/>
    <w:rsid w:val="00AD4580"/>
    <w:rsid w:val="00AD472D"/>
    <w:rsid w:val="00AE6009"/>
    <w:rsid w:val="00AF47C9"/>
    <w:rsid w:val="00B103B1"/>
    <w:rsid w:val="00B12824"/>
    <w:rsid w:val="00B13174"/>
    <w:rsid w:val="00B24A0D"/>
    <w:rsid w:val="00B346FF"/>
    <w:rsid w:val="00B53560"/>
    <w:rsid w:val="00B54BF1"/>
    <w:rsid w:val="00B625E1"/>
    <w:rsid w:val="00B95A7F"/>
    <w:rsid w:val="00B96E85"/>
    <w:rsid w:val="00BA2934"/>
    <w:rsid w:val="00BB07D0"/>
    <w:rsid w:val="00BB1A75"/>
    <w:rsid w:val="00BB2BD7"/>
    <w:rsid w:val="00BE3EA4"/>
    <w:rsid w:val="00BE6CE9"/>
    <w:rsid w:val="00BE7D67"/>
    <w:rsid w:val="00C00F81"/>
    <w:rsid w:val="00C13FFE"/>
    <w:rsid w:val="00C147D8"/>
    <w:rsid w:val="00C32CA5"/>
    <w:rsid w:val="00C52BA3"/>
    <w:rsid w:val="00C57855"/>
    <w:rsid w:val="00C7299A"/>
    <w:rsid w:val="00C90391"/>
    <w:rsid w:val="00C94EA6"/>
    <w:rsid w:val="00C97D06"/>
    <w:rsid w:val="00CA6EBE"/>
    <w:rsid w:val="00CB5DF2"/>
    <w:rsid w:val="00CC562E"/>
    <w:rsid w:val="00CD03A7"/>
    <w:rsid w:val="00CD0C7E"/>
    <w:rsid w:val="00CF6CDC"/>
    <w:rsid w:val="00D01701"/>
    <w:rsid w:val="00D0468B"/>
    <w:rsid w:val="00D060A3"/>
    <w:rsid w:val="00D13AE0"/>
    <w:rsid w:val="00D33BD2"/>
    <w:rsid w:val="00D448E3"/>
    <w:rsid w:val="00D47054"/>
    <w:rsid w:val="00D50E26"/>
    <w:rsid w:val="00D633AD"/>
    <w:rsid w:val="00DC1540"/>
    <w:rsid w:val="00DD0632"/>
    <w:rsid w:val="00DD6768"/>
    <w:rsid w:val="00DF0CDB"/>
    <w:rsid w:val="00E06B96"/>
    <w:rsid w:val="00E1620D"/>
    <w:rsid w:val="00E33AC0"/>
    <w:rsid w:val="00E376E2"/>
    <w:rsid w:val="00E41FD3"/>
    <w:rsid w:val="00E63020"/>
    <w:rsid w:val="00E84DFA"/>
    <w:rsid w:val="00EC14CC"/>
    <w:rsid w:val="00EE31F2"/>
    <w:rsid w:val="00F046E2"/>
    <w:rsid w:val="00F10450"/>
    <w:rsid w:val="00F17CAD"/>
    <w:rsid w:val="00F2266D"/>
    <w:rsid w:val="00F469A6"/>
    <w:rsid w:val="00F46F16"/>
    <w:rsid w:val="00F64B01"/>
    <w:rsid w:val="00F66512"/>
    <w:rsid w:val="00F935CA"/>
    <w:rsid w:val="00FB42B3"/>
    <w:rsid w:val="00FE1051"/>
    <w:rsid w:val="00FF74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A9185F"/>
  <w15:chartTrackingRefBased/>
  <w15:docId w15:val="{D8E1F1C7-EECE-4E83-9B2F-B31841EA8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en-US" w:eastAsia="zh-CN"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4BF1"/>
    <w:pPr>
      <w:ind w:left="720"/>
      <w:contextualSpacing/>
    </w:pPr>
  </w:style>
  <w:style w:type="paragraph" w:styleId="FootnoteText">
    <w:name w:val="footnote text"/>
    <w:basedOn w:val="Normal"/>
    <w:link w:val="FootnoteTextChar"/>
    <w:uiPriority w:val="99"/>
    <w:semiHidden/>
    <w:unhideWhenUsed/>
    <w:rsid w:val="00841F3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1F3C"/>
    <w:rPr>
      <w:sz w:val="20"/>
      <w:szCs w:val="20"/>
    </w:rPr>
  </w:style>
  <w:style w:type="character" w:styleId="FootnoteReference">
    <w:name w:val="footnote reference"/>
    <w:basedOn w:val="DefaultParagraphFont"/>
    <w:uiPriority w:val="99"/>
    <w:semiHidden/>
    <w:unhideWhenUsed/>
    <w:rsid w:val="00841F3C"/>
    <w:rPr>
      <w:vertAlign w:val="superscript"/>
    </w:rPr>
  </w:style>
  <w:style w:type="character" w:styleId="Hyperlink">
    <w:name w:val="Hyperlink"/>
    <w:basedOn w:val="DefaultParagraphFont"/>
    <w:uiPriority w:val="99"/>
    <w:unhideWhenUsed/>
    <w:rsid w:val="00734146"/>
    <w:rPr>
      <w:color w:val="0563C1" w:themeColor="hyperlink"/>
      <w:u w:val="single"/>
    </w:rPr>
  </w:style>
  <w:style w:type="character" w:styleId="CommentReference">
    <w:name w:val="annotation reference"/>
    <w:basedOn w:val="DefaultParagraphFont"/>
    <w:uiPriority w:val="99"/>
    <w:semiHidden/>
    <w:unhideWhenUsed/>
    <w:rsid w:val="00734146"/>
    <w:rPr>
      <w:sz w:val="16"/>
      <w:szCs w:val="16"/>
    </w:rPr>
  </w:style>
  <w:style w:type="paragraph" w:styleId="CommentText">
    <w:name w:val="annotation text"/>
    <w:basedOn w:val="Normal"/>
    <w:link w:val="CommentTextChar"/>
    <w:uiPriority w:val="99"/>
    <w:unhideWhenUsed/>
    <w:rsid w:val="00734146"/>
    <w:pPr>
      <w:widowControl w:val="0"/>
      <w:spacing w:after="0" w:line="240" w:lineRule="auto"/>
    </w:pPr>
    <w:rPr>
      <w:sz w:val="20"/>
      <w:szCs w:val="20"/>
      <w:lang w:eastAsia="zh-TW"/>
      <w14:ligatures w14:val="none"/>
    </w:rPr>
  </w:style>
  <w:style w:type="character" w:customStyle="1" w:styleId="CommentTextChar">
    <w:name w:val="Comment Text Char"/>
    <w:basedOn w:val="DefaultParagraphFont"/>
    <w:link w:val="CommentText"/>
    <w:uiPriority w:val="99"/>
    <w:rsid w:val="00734146"/>
    <w:rPr>
      <w:sz w:val="20"/>
      <w:szCs w:val="20"/>
      <w:lang w:eastAsia="zh-TW"/>
      <w14:ligatures w14:val="none"/>
    </w:rPr>
  </w:style>
  <w:style w:type="paragraph" w:styleId="CommentSubject">
    <w:name w:val="annotation subject"/>
    <w:basedOn w:val="CommentText"/>
    <w:next w:val="CommentText"/>
    <w:link w:val="CommentSubjectChar"/>
    <w:uiPriority w:val="99"/>
    <w:semiHidden/>
    <w:unhideWhenUsed/>
    <w:rsid w:val="00282E97"/>
    <w:pPr>
      <w:widowControl/>
      <w:spacing w:after="160"/>
    </w:pPr>
    <w:rPr>
      <w:b/>
      <w:bCs/>
      <w:lang w:eastAsia="zh-CN"/>
      <w14:ligatures w14:val="standardContextual"/>
    </w:rPr>
  </w:style>
  <w:style w:type="character" w:customStyle="1" w:styleId="CommentSubjectChar">
    <w:name w:val="Comment Subject Char"/>
    <w:basedOn w:val="CommentTextChar"/>
    <w:link w:val="CommentSubject"/>
    <w:uiPriority w:val="99"/>
    <w:semiHidden/>
    <w:rsid w:val="00282E97"/>
    <w:rPr>
      <w:b/>
      <w:bCs/>
      <w:sz w:val="20"/>
      <w:szCs w:val="20"/>
      <w:lang w:eastAsia="zh-TW"/>
      <w14:ligatures w14:val="none"/>
    </w:rPr>
  </w:style>
  <w:style w:type="character" w:styleId="UnresolvedMention">
    <w:name w:val="Unresolved Mention"/>
    <w:basedOn w:val="DefaultParagraphFont"/>
    <w:uiPriority w:val="99"/>
    <w:semiHidden/>
    <w:unhideWhenUsed/>
    <w:rsid w:val="00282E97"/>
    <w:rPr>
      <w:color w:val="605E5C"/>
      <w:shd w:val="clear" w:color="auto" w:fill="E1DFDD"/>
    </w:rPr>
  </w:style>
  <w:style w:type="paragraph" w:styleId="Header">
    <w:name w:val="header"/>
    <w:basedOn w:val="Normal"/>
    <w:link w:val="HeaderChar"/>
    <w:uiPriority w:val="99"/>
    <w:unhideWhenUsed/>
    <w:rsid w:val="00CD03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03A7"/>
  </w:style>
  <w:style w:type="paragraph" w:styleId="Footer">
    <w:name w:val="footer"/>
    <w:basedOn w:val="Normal"/>
    <w:link w:val="FooterChar"/>
    <w:uiPriority w:val="99"/>
    <w:unhideWhenUsed/>
    <w:rsid w:val="00CD03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03A7"/>
  </w:style>
  <w:style w:type="paragraph" w:styleId="Revision">
    <w:name w:val="Revision"/>
    <w:hidden/>
    <w:uiPriority w:val="99"/>
    <w:semiHidden/>
    <w:rsid w:val="001B4D57"/>
    <w:pPr>
      <w:spacing w:after="0" w:line="240" w:lineRule="auto"/>
    </w:pPr>
  </w:style>
  <w:style w:type="paragraph" w:styleId="EndnoteText">
    <w:name w:val="endnote text"/>
    <w:basedOn w:val="Normal"/>
    <w:link w:val="EndnoteTextChar"/>
    <w:uiPriority w:val="99"/>
    <w:semiHidden/>
    <w:unhideWhenUsed/>
    <w:rsid w:val="00333C7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33C7F"/>
    <w:rPr>
      <w:sz w:val="20"/>
      <w:szCs w:val="20"/>
    </w:rPr>
  </w:style>
  <w:style w:type="character" w:styleId="EndnoteReference">
    <w:name w:val="endnote reference"/>
    <w:basedOn w:val="DefaultParagraphFont"/>
    <w:uiPriority w:val="99"/>
    <w:semiHidden/>
    <w:unhideWhenUsed/>
    <w:rsid w:val="00333C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21645515.2022.2074716" TargetMode="External"/><Relationship Id="rId13" Type="http://schemas.openxmlformats.org/officeDocument/2006/relationships/hyperlink" Target="https://doi.org/10.1007/s10389-021-01658-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2196/42758"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doi.org/10.1073/pnas.2210666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93/hrlr/ngaa060" TargetMode="External"/><Relationship Id="rId5" Type="http://schemas.openxmlformats.org/officeDocument/2006/relationships/webSettings" Target="webSettings.xml"/><Relationship Id="rId15" Type="http://schemas.openxmlformats.org/officeDocument/2006/relationships/hyperlink" Target="https://unesdoc.unesco.org/ark:/48223/pf0000163102/PDF/163102eng.pdf.multi" TargetMode="External"/><Relationship Id="rId10" Type="http://schemas.openxmlformats.org/officeDocument/2006/relationships/hyperlink" Target="https://doi.org/10.1016/j.eclinm.2021.101113"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oi.org/10.1038/s41562-022-01431-6" TargetMode="External"/><Relationship Id="rId14" Type="http://schemas.openxmlformats.org/officeDocument/2006/relationships/hyperlink" Target="https://medicine.nus.edu.sg/apic/what-we-do/best-practices-for-vaccine-communications-lessons-learned-on-preparedness-and-policy-implications-from-india-indonesia-and-the-philippin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9A3241-0526-4B59-B890-63256955B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10</Pages>
  <Words>2580</Words>
  <Characters>16409</Characters>
  <Application>Microsoft Office Word</Application>
  <DocSecurity>0</DocSecurity>
  <Lines>241</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Fried</dc:creator>
  <cp:keywords/>
  <dc:description/>
  <cp:lastModifiedBy>Lan Thuong Nguyen</cp:lastModifiedBy>
  <cp:revision>42</cp:revision>
  <cp:lastPrinted>2023-10-18T05:55:00Z</cp:lastPrinted>
  <dcterms:created xsi:type="dcterms:W3CDTF">2023-12-14T07:47:00Z</dcterms:created>
  <dcterms:modified xsi:type="dcterms:W3CDTF">2024-02-29T05:09:00Z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59faf8883839a3a749150b0aa5e506b977b2f3db0cdba4aef90d085a39f045d5</vt:lpwstr>
  </property>
</Properties>
</file>